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Хабаровского края от 10.02.2026 N 29-пр</w:t>
              <w:br/>
              <w:t xml:space="preserve">"Об утверждении Положения о нормах и порядке обеспечения бесплатным питанием отдельных категорий обучающихся"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11.03.2026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ХАБАРОВСКОГО КРАЯ</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10 февраля 2026 г. N 29-пр</w:t>
      </w:r>
    </w:p>
    <w:p>
      <w:pPr>
        <w:pStyle w:val="2"/>
        <w:jc w:val="center"/>
      </w:pPr>
      <w:r>
        <w:rPr>
          <w:sz w:val="24"/>
        </w:rPr>
      </w:r>
    </w:p>
    <w:p>
      <w:pPr>
        <w:pStyle w:val="2"/>
        <w:jc w:val="center"/>
      </w:pPr>
      <w:r>
        <w:rPr>
          <w:sz w:val="24"/>
        </w:rPr>
        <w:t xml:space="preserve">ОБ УТВЕРЖДЕНИИ ПОЛОЖЕНИЯ О НОРМАХ И ПОРЯДКЕ ОБЕСПЕЧЕНИЯ</w:t>
      </w:r>
    </w:p>
    <w:p>
      <w:pPr>
        <w:pStyle w:val="2"/>
        <w:jc w:val="center"/>
      </w:pPr>
      <w:r>
        <w:rPr>
          <w:sz w:val="24"/>
        </w:rPr>
        <w:t xml:space="preserve">БЕСПЛАТНЫМ ПИТАНИЕМ ОТДЕЛЬНЫХ КАТЕГОРИЙ ОБУЧАЮЩИХСЯ</w:t>
      </w:r>
    </w:p>
    <w:p>
      <w:pPr>
        <w:pStyle w:val="0"/>
        <w:jc w:val="both"/>
      </w:pPr>
      <w:r>
        <w:rPr>
          <w:sz w:val="24"/>
        </w:rPr>
      </w:r>
    </w:p>
    <w:p>
      <w:pPr>
        <w:pStyle w:val="0"/>
        <w:ind w:firstLine="540"/>
        <w:jc w:val="both"/>
      </w:pPr>
      <w:r>
        <w:rPr>
          <w:sz w:val="24"/>
        </w:rPr>
        <w:t xml:space="preserve">В соответствии с Федеральным </w:t>
      </w:r>
      <w:hyperlink w:history="0" r:id="rId8" w:tooltip="Федеральный закон от 29.12.2012 N 273-ФЗ (ред. от 29.12.2025) &quot;Об образовании в Российской Федерации&quot; (с изм. и доп., вступ. в силу с 01.03.2026) {КонсультантПлюс}">
        <w:r>
          <w:rPr>
            <w:sz w:val="24"/>
            <w:color w:val="0000ff"/>
          </w:rPr>
          <w:t xml:space="preserve">законом</w:t>
        </w:r>
      </w:hyperlink>
      <w:r>
        <w:rPr>
          <w:sz w:val="24"/>
        </w:rPr>
        <w:t xml:space="preserve"> от 29 декабря 2012 г. N 273-ФЗ "Об образовании в Российской Федерации", во исполнение </w:t>
      </w:r>
      <w:hyperlink w:history="0" r:id="rId9" w:tooltip="Закон Хабаровского края от 14.02.2005 N 261 (ред. от 01.11.2025) &quot;О дополнительных мерах социальной поддержки педагогических работников и дополнительных мерах социальной поддержки и стимулирования отдельных категорий обучающихся&quot; {КонсультантПлюс}">
        <w:r>
          <w:rPr>
            <w:sz w:val="24"/>
            <w:color w:val="0000ff"/>
          </w:rPr>
          <w:t xml:space="preserve">частей 5</w:t>
        </w:r>
      </w:hyperlink>
      <w:r>
        <w:rPr>
          <w:sz w:val="24"/>
        </w:rPr>
        <w:t xml:space="preserve">, </w:t>
      </w:r>
      <w:hyperlink w:history="0" r:id="rId10" w:tooltip="Закон Хабаровского края от 14.02.2005 N 261 (ред. от 01.11.2025) &quot;О дополнительных мерах социальной поддержки педагогических работников и дополнительных мерах социальной поддержки и стимулирования отдельных категорий обучающихся&quot; {КонсультантПлюс}">
        <w:r>
          <w:rPr>
            <w:sz w:val="24"/>
            <w:color w:val="0000ff"/>
          </w:rPr>
          <w:t xml:space="preserve">7</w:t>
        </w:r>
      </w:hyperlink>
      <w:r>
        <w:rPr>
          <w:sz w:val="24"/>
        </w:rPr>
        <w:t xml:space="preserve">, </w:t>
      </w:r>
      <w:hyperlink w:history="0" r:id="rId11" w:tooltip="Закон Хабаровского края от 14.02.2005 N 261 (ред. от 01.11.2025) &quot;О дополнительных мерах социальной поддержки педагогических работников и дополнительных мерах социальной поддержки и стимулирования отдельных категорий обучающихся&quot; {КонсультантПлюс}">
        <w:r>
          <w:rPr>
            <w:sz w:val="24"/>
            <w:color w:val="0000ff"/>
          </w:rPr>
          <w:t xml:space="preserve">8 статьи 2</w:t>
        </w:r>
      </w:hyperlink>
      <w:r>
        <w:rPr>
          <w:sz w:val="24"/>
        </w:rPr>
        <w:t xml:space="preserve"> Закона Хабаровского края от 14 февраля 2005 г. N 261 "О дополнительных мерах социальной поддержки педагогических работников и дополнительных мерах социальной поддержки и стимулирования отдельных категорий обучающихся" Правительство края постановляет:</w:t>
      </w:r>
    </w:p>
    <w:p>
      <w:pPr>
        <w:pStyle w:val="0"/>
        <w:spacing w:before="240" w:lineRule="auto"/>
        <w:ind w:firstLine="540"/>
        <w:jc w:val="both"/>
      </w:pPr>
      <w:r>
        <w:rPr>
          <w:sz w:val="24"/>
        </w:rPr>
        <w:t xml:space="preserve">1. Утвердить прилагаемое </w:t>
      </w:r>
      <w:hyperlink w:history="0" w:anchor="P35" w:tooltip="ПОЛОЖЕНИЕ">
        <w:r>
          <w:rPr>
            <w:sz w:val="24"/>
            <w:color w:val="0000ff"/>
          </w:rPr>
          <w:t xml:space="preserve">Положение</w:t>
        </w:r>
      </w:hyperlink>
      <w:r>
        <w:rPr>
          <w:sz w:val="24"/>
        </w:rPr>
        <w:t xml:space="preserve"> о нормах и порядке обеспечения бесплатным питанием отдельных категорий обучающихся.</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r:id="rId12" w:tooltip="Постановление Правительства Хабаровского края от 20.07.2017 N 283-пр (ред. от 18.02.2025) &quot;Об обеспечении бесплатным питанием отдельных категорий обучающихся в краевых государственных общеобразовательных организациях, краевых государственных образовательных организациях, имеющих право реализации основных и дополнительных образовательных программ, не относящихся к типу таких образовательных организаций, осуществляющих в качестве основной цели деятельности образовательную деятельность по основным общеобразова ------------ Утратил силу или отменен {КонсультантПлюс}">
        <w:r>
          <w:rPr>
            <w:sz w:val="24"/>
            <w:color w:val="0000ff"/>
          </w:rPr>
          <w:t xml:space="preserve">постановление</w:t>
        </w:r>
      </w:hyperlink>
      <w:r>
        <w:rPr>
          <w:sz w:val="24"/>
        </w:rPr>
        <w:t xml:space="preserve"> Правительства Хабаровского края от 20 июля 2017 г. N 283-пр "Об обеспечении бесплатным питанием обучающихся из малоимущих и (или) многодетных семей в краевых государственных общеобразовательных организациях, а также обучающихся в краевых государственных общеобразовательных организациях - центрах психолого-педагогической, медицинской и социальной помощи";</w:t>
      </w:r>
    </w:p>
    <w:p>
      <w:pPr>
        <w:pStyle w:val="0"/>
        <w:spacing w:before="240" w:lineRule="auto"/>
        <w:ind w:firstLine="540"/>
        <w:jc w:val="both"/>
      </w:pPr>
      <w:hyperlink w:history="0" r:id="rId13" w:tooltip="Постановление Правительства Хабаровского края от 06.04.2018 N 113-пр &quot;О внесении изменений в постановление Правительства Хабаровского края от 20 июля 2017 г. N 283-пр &quot;Об обеспечении бесплатным питанием обучающихся из малоимущих и (или) многодетных семей в краевых государственных общеобразовательных организациях, а также обучающихся в краевых государственных общеобразовательных организациях - центрах психолого-педагогической, медицинской и социальной помощи&quot; ------------ Утратил силу или отменен {КонсультантПлюс}">
        <w:r>
          <w:rPr>
            <w:sz w:val="24"/>
            <w:color w:val="0000ff"/>
          </w:rPr>
          <w:t xml:space="preserve">постановление</w:t>
        </w:r>
      </w:hyperlink>
      <w:r>
        <w:rPr>
          <w:sz w:val="24"/>
        </w:rPr>
        <w:t xml:space="preserve"> Правительства Хабаровского края от 06 апреля 2018 г. N 113-пр "О внесении изменений в постановление Правительства Хабаровского края от 20 июля 2017 г. N 283-пр "Об обеспечении бесплатным питанием обучающихся из малоимущих и (или) многодетных семей в краевых государственных общеобразовательных организациях, а также обучающихся в краевых государственных общеобразовательных организациях - центрах психолого-педагогической, медицинской и социальной помощи";</w:t>
      </w:r>
    </w:p>
    <w:p>
      <w:pPr>
        <w:pStyle w:val="0"/>
        <w:spacing w:before="240" w:lineRule="auto"/>
        <w:ind w:firstLine="540"/>
        <w:jc w:val="both"/>
      </w:pPr>
      <w:hyperlink w:history="0" r:id="rId14" w:tooltip="Постановление Правительства Хабаровского края от 25.03.2020 N 95-пр &quot;О внесении изменений в постановление Правительства Хабаровского края от 20 июля 2017 г. N 283-пр &quot;Об обеспечении бесплатным питанием обучающихся из малоимущих и (или) многодетных семей в краевых государственных общеобразовательных организациях, а также обучающихся в краевых государственных общеобразовательных организациях - центрах психолого-педагогической, медицинской и социальной помощи&quot; ------------ Утратил силу или отменен {КонсультантПлюс}">
        <w:r>
          <w:rPr>
            <w:sz w:val="24"/>
            <w:color w:val="0000ff"/>
          </w:rPr>
          <w:t xml:space="preserve">постановление</w:t>
        </w:r>
      </w:hyperlink>
      <w:r>
        <w:rPr>
          <w:sz w:val="24"/>
        </w:rPr>
        <w:t xml:space="preserve"> Правительства Хабаровского края от 25 марта 2020 г. N 95-пр "О внесении изменений в постановление Правительства Хабаровского края от 20 июля 2017 г. N 283-пр "Об обеспечении бесплатным питанием обучающихся из малоимущих и (или) многодетных семей в краевых государственных общеобразовательных организациях, а также обучающихся в краевых государственных общеобразовательных организациях - центрах психолого-педагогической, медицинской и социальной помощи";</w:t>
      </w:r>
    </w:p>
    <w:p>
      <w:pPr>
        <w:pStyle w:val="0"/>
        <w:spacing w:before="240" w:lineRule="auto"/>
        <w:ind w:firstLine="540"/>
        <w:jc w:val="both"/>
      </w:pPr>
      <w:hyperlink w:history="0" r:id="rId15" w:tooltip="Постановление Правительства Хабаровского края от 08.04.2020 N 144-пр (ред. от 10.06.2020) &quot;О внесении изменений в отдельные постановления Правительства Хабаровского края&quot; ------------ Недействующая редакция {КонсультантПлюс}">
        <w:r>
          <w:rPr>
            <w:sz w:val="24"/>
            <w:color w:val="0000ff"/>
          </w:rPr>
          <w:t xml:space="preserve">пункт 3</w:t>
        </w:r>
      </w:hyperlink>
      <w:r>
        <w:rPr>
          <w:sz w:val="24"/>
        </w:rPr>
        <w:t xml:space="preserve"> постановления Правительства Хабаровского края от 08 апреля 2020 г. N 144-пр "О внесении изменений в отдельные постановления Правительства Хабаровского края";</w:t>
      </w:r>
    </w:p>
    <w:p>
      <w:pPr>
        <w:pStyle w:val="0"/>
        <w:spacing w:before="240" w:lineRule="auto"/>
        <w:ind w:firstLine="540"/>
        <w:jc w:val="both"/>
      </w:pPr>
      <w:hyperlink w:history="0" r:id="rId16" w:tooltip="Постановление Правительства Хабаровского края от 30.12.2021 N 714-пр &quot;О внесении изменений в Положение о нормах и порядке обеспечения бесплатным питанием обучающихся из малоимущих и (или) многодетных семей в краевых государственных общеобразовательных организациях, краевых государственных образовательных организациях, имеющих право реализации основных и дополнительных образовательных программ, не относящихся к типу таких образовательных организаций, осуществляющих в качестве основной цели деятельности образ ------------ Утратил силу или отменен {КонсультантПлюс}">
        <w:r>
          <w:rPr>
            <w:sz w:val="24"/>
            <w:color w:val="0000ff"/>
          </w:rPr>
          <w:t xml:space="preserve">постановление</w:t>
        </w:r>
      </w:hyperlink>
      <w:r>
        <w:rPr>
          <w:sz w:val="24"/>
        </w:rPr>
        <w:t xml:space="preserve"> Правительства Хабаровского края от 30 декабря 2021 г. N 714-пр "О внесении изменений в Положение о нормах и порядке обеспечения бесплатным питанием обучающихся из малоимущих и (или) многодетных семей в краевых государственных общеобразовательных организациях, краевых государственных образовательных организациях, имеющих право реализации основных и дополнительных образовательных программ, не относящихся к типу таких образовательных организаций, осуществляющих в качестве основной цели деятельности образовательную деятельность по основным общеобразовательным программам, а также обучающихся в краевых государственных общеобразовательных организациях - центрах психолого-педагогической, медицинской и социальной помощи, утвержденное постановлением Правительства Хабаровского края от 20 июля 2017 г. N 283-пр";</w:t>
      </w:r>
    </w:p>
    <w:p>
      <w:pPr>
        <w:pStyle w:val="0"/>
        <w:spacing w:before="240" w:lineRule="auto"/>
        <w:ind w:firstLine="540"/>
        <w:jc w:val="both"/>
      </w:pPr>
      <w:hyperlink w:history="0" r:id="rId17" w:tooltip="Постановление Правительства Хабаровского края от 10.02.2023 N 52-пр &quot;О внесении изменений в постановление Правительства Хабаровского края от 20 июля 2017 г. N 283-пр &quot;Об обеспечении бесплатным питанием обучающихся из малоимущих и (или) многодетных семей в краевых государственных общеобразовательных организациях, краевых государственных образовательных организациях, имеющих право реализации основных и дополнительных образовательных программ, не относящихся к типу таких образовательных организаций, осуществля ------------ Утратил силу или отменен {КонсультантПлюс}">
        <w:r>
          <w:rPr>
            <w:sz w:val="24"/>
            <w:color w:val="0000ff"/>
          </w:rPr>
          <w:t xml:space="preserve">постановление</w:t>
        </w:r>
      </w:hyperlink>
      <w:r>
        <w:rPr>
          <w:sz w:val="24"/>
        </w:rPr>
        <w:t xml:space="preserve"> Правительства Хабаровского края от 10 февраля 2023 г. N 52-пр "О внесении изменений в постановление Правительства Хабаровского края от 20 июля 2017 г. N 283-пр "Об обеспечении бесплатным питанием обучающихся из малоимущих и (или) многодетных семей в краевых государственных общеобразовательных организациях, краевых государственных образовательных организациях, имеющих право реализации основных и дополнительных образовательных программ, не относящихся к типу таких образовательных организаций, осуществляющих в качестве основной цели деятельности образовательную деятельность по основным общеобразовательным программам, а также обучающихся в краевых государственных общеобразовательных организациях - центрах психолого-педагогической, медицинской и социальной помощи";</w:t>
      </w:r>
    </w:p>
    <w:p>
      <w:pPr>
        <w:pStyle w:val="0"/>
        <w:spacing w:before="240" w:lineRule="auto"/>
        <w:ind w:firstLine="540"/>
        <w:jc w:val="both"/>
      </w:pPr>
      <w:hyperlink w:history="0" r:id="rId18" w:tooltip="Постановление Правительства Хабаровского края от 22.01.2024 N 18-пр &quot;О внесении изменений в отдельные постановления Правительства Хабаровского края&quot; ------------ Недействующая редакция {КонсультантПлюс}">
        <w:r>
          <w:rPr>
            <w:sz w:val="24"/>
            <w:color w:val="0000ff"/>
          </w:rPr>
          <w:t xml:space="preserve">пункт 4</w:t>
        </w:r>
      </w:hyperlink>
      <w:r>
        <w:rPr>
          <w:sz w:val="24"/>
        </w:rPr>
        <w:t xml:space="preserve"> постановления Правительства Хабаровского края от 22 января 2024 г. N 18-пр "О внесении изменений в отдельные постановления Правительства Хабаровского края";</w:t>
      </w:r>
    </w:p>
    <w:p>
      <w:pPr>
        <w:pStyle w:val="0"/>
        <w:spacing w:before="240" w:lineRule="auto"/>
        <w:ind w:firstLine="540"/>
        <w:jc w:val="both"/>
      </w:pPr>
      <w:hyperlink w:history="0" r:id="rId19" w:tooltip="Постановление Правительства Хабаровского края от 12.09.2024 N 327-пр (ред. от 14.05.2025) &quot;Об утверждении Порядка предоставления из краевого бюджета грантов в форме субсидий образовательным организациям (за исключением краевых государственных образовательных организаций), осуществляющим образовательную деятельность по образовательным программам среднего профессионального образования, на финансовое обеспечение затрат на обучение граждан Российской Федерации по имеющим государственную аккредитацию образовател ------------ Недействующая редакция {КонсультантПлюс}">
        <w:r>
          <w:rPr>
            <w:sz w:val="24"/>
            <w:color w:val="0000ff"/>
          </w:rPr>
          <w:t xml:space="preserve">пункт 3</w:t>
        </w:r>
      </w:hyperlink>
      <w:r>
        <w:rPr>
          <w:sz w:val="24"/>
        </w:rPr>
        <w:t xml:space="preserve"> постановления Правительства Хабаровского края от 12 сентября 2024 г. N 327-пр "Об утверждении Порядка предоставления из краевого бюджета грантов в форме субсидий образовательным организациям (за исключением краевых государственных образовательных организаций), осуществляющим образовательную деятельность по образовательным программам среднего профессионального образования, на финансовое обеспечение затрат на обучение граждан Российской Федерации по имеющим государственную аккредитацию образовательным программам среднего профессионального образования и о внесении изменений в отдельные постановления Правительства Хабаровского края";</w:t>
      </w:r>
    </w:p>
    <w:p>
      <w:pPr>
        <w:pStyle w:val="0"/>
        <w:spacing w:before="240" w:lineRule="auto"/>
        <w:ind w:firstLine="540"/>
        <w:jc w:val="both"/>
      </w:pPr>
      <w:hyperlink w:history="0" r:id="rId20" w:tooltip="Постановление Правительства Хабаровского края от 18.02.2025 N 69-пр &quot;О внесении изменений в отдельные постановления Правительства Хабаровского края&quot; ------------ Недействующая редакция {КонсультантПлюс}">
        <w:r>
          <w:rPr>
            <w:sz w:val="24"/>
            <w:color w:val="0000ff"/>
          </w:rPr>
          <w:t xml:space="preserve">пункт 5</w:t>
        </w:r>
      </w:hyperlink>
      <w:r>
        <w:rPr>
          <w:sz w:val="24"/>
        </w:rPr>
        <w:t xml:space="preserve"> постановления Правительства Хабаровского края от 18 февраля 2025 г. N 69-пр "О внесении изменений в отдельные постановления Правительства Хабаровского края".</w:t>
      </w:r>
    </w:p>
    <w:p>
      <w:pPr>
        <w:pStyle w:val="0"/>
        <w:jc w:val="both"/>
      </w:pPr>
      <w:r>
        <w:rPr>
          <w:sz w:val="24"/>
        </w:rPr>
      </w:r>
    </w:p>
    <w:p>
      <w:pPr>
        <w:pStyle w:val="0"/>
        <w:jc w:val="right"/>
      </w:pPr>
      <w:r>
        <w:rPr>
          <w:sz w:val="24"/>
        </w:rPr>
        <w:t xml:space="preserve">Губернатор,</w:t>
      </w:r>
    </w:p>
    <w:p>
      <w:pPr>
        <w:pStyle w:val="0"/>
        <w:jc w:val="right"/>
      </w:pPr>
      <w:r>
        <w:rPr>
          <w:sz w:val="24"/>
        </w:rPr>
        <w:t xml:space="preserve">Председатель Правительства края</w:t>
      </w:r>
    </w:p>
    <w:p>
      <w:pPr>
        <w:pStyle w:val="0"/>
        <w:jc w:val="right"/>
      </w:pPr>
      <w:r>
        <w:rPr>
          <w:sz w:val="24"/>
        </w:rPr>
        <w:t xml:space="preserve">Д.В.Демешин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w:t>
      </w:r>
    </w:p>
    <w:p>
      <w:pPr>
        <w:pStyle w:val="0"/>
        <w:jc w:val="right"/>
      </w:pPr>
      <w:r>
        <w:rPr>
          <w:sz w:val="24"/>
        </w:rPr>
        <w:t xml:space="preserve">Правительства Хабаровского края</w:t>
      </w:r>
    </w:p>
    <w:p>
      <w:pPr>
        <w:pStyle w:val="0"/>
        <w:jc w:val="right"/>
      </w:pPr>
      <w:r>
        <w:rPr>
          <w:sz w:val="24"/>
        </w:rPr>
        <w:t xml:space="preserve">от 10 февраля 2026 г. N 29-пр</w:t>
      </w:r>
    </w:p>
    <w:p>
      <w:pPr>
        <w:pStyle w:val="0"/>
        <w:jc w:val="both"/>
      </w:pPr>
      <w:r>
        <w:rPr>
          <w:sz w:val="24"/>
        </w:rPr>
      </w:r>
    </w:p>
    <w:bookmarkStart w:id="35" w:name="P35"/>
    <w:bookmarkEnd w:id="35"/>
    <w:p>
      <w:pPr>
        <w:pStyle w:val="2"/>
        <w:jc w:val="center"/>
      </w:pPr>
      <w:r>
        <w:rPr>
          <w:sz w:val="24"/>
        </w:rPr>
        <w:t xml:space="preserve">ПОЛОЖЕНИЕ</w:t>
      </w:r>
    </w:p>
    <w:p>
      <w:pPr>
        <w:pStyle w:val="2"/>
        <w:jc w:val="center"/>
      </w:pPr>
      <w:r>
        <w:rPr>
          <w:sz w:val="24"/>
        </w:rPr>
        <w:t xml:space="preserve">О НОРМАХ И ПОРЯДКЕ ОБЕСПЕЧЕНИЯ БЕСПЛАТНЫМ</w:t>
      </w:r>
    </w:p>
    <w:p>
      <w:pPr>
        <w:pStyle w:val="2"/>
        <w:jc w:val="center"/>
      </w:pPr>
      <w:r>
        <w:rPr>
          <w:sz w:val="24"/>
        </w:rPr>
        <w:t xml:space="preserve">ПИТАНИЕМ ОТДЕЛЬНЫХ КАТЕГОРИЙ ОБУЧАЮЩИХСЯ</w:t>
      </w:r>
    </w:p>
    <w:p>
      <w:pPr>
        <w:pStyle w:val="0"/>
        <w:jc w:val="both"/>
      </w:pPr>
      <w:r>
        <w:rPr>
          <w:sz w:val="24"/>
        </w:rPr>
      </w:r>
    </w:p>
    <w:p>
      <w:pPr>
        <w:pStyle w:val="2"/>
        <w:outlineLvl w:val="1"/>
        <w:jc w:val="center"/>
      </w:pPr>
      <w:r>
        <w:rPr>
          <w:sz w:val="24"/>
        </w:rPr>
        <w:t xml:space="preserve">1. Общие положения</w:t>
      </w:r>
    </w:p>
    <w:p>
      <w:pPr>
        <w:pStyle w:val="0"/>
        <w:jc w:val="both"/>
      </w:pPr>
      <w:r>
        <w:rPr>
          <w:sz w:val="24"/>
        </w:rPr>
      </w:r>
    </w:p>
    <w:bookmarkStart w:id="41" w:name="P41"/>
    <w:bookmarkEnd w:id="41"/>
    <w:p>
      <w:pPr>
        <w:pStyle w:val="0"/>
        <w:ind w:firstLine="540"/>
        <w:jc w:val="both"/>
      </w:pPr>
      <w:r>
        <w:rPr>
          <w:sz w:val="24"/>
        </w:rPr>
        <w:t xml:space="preserve">1.1. Настоящее Положение устанавливает порядок обеспечения бесплатным питанием детей (обучающихся):</w:t>
      </w:r>
    </w:p>
    <w:bookmarkStart w:id="42" w:name="P42"/>
    <w:bookmarkEnd w:id="42"/>
    <w:p>
      <w:pPr>
        <w:pStyle w:val="0"/>
        <w:spacing w:before="240" w:lineRule="auto"/>
        <w:ind w:firstLine="540"/>
        <w:jc w:val="both"/>
      </w:pPr>
      <w:r>
        <w:rPr>
          <w:sz w:val="24"/>
        </w:rPr>
        <w:t xml:space="preserve">1) из малоимущих и (или) многодетных семей, инвалидов (детей-инвалидов), не имеющих одновременно статуса обучающихся с ограниченными возможностями здоровья (далее - инвалиды (дети-инвалиды), в период их обучения в краевых государственных общеобразовательных организациях, краевых государственных образовательных организациях, имеющих право реализации основных и дополнительных образовательных программ, не относящихся к типу таких образовательных организаций, осуществляющих в качестве основной цели деятельности образовательную деятельность по основным общеобразовательным программам;</w:t>
      </w:r>
    </w:p>
    <w:bookmarkStart w:id="43" w:name="P43"/>
    <w:bookmarkEnd w:id="43"/>
    <w:p>
      <w:pPr>
        <w:pStyle w:val="0"/>
        <w:spacing w:before="240" w:lineRule="auto"/>
        <w:ind w:firstLine="540"/>
        <w:jc w:val="both"/>
      </w:pPr>
      <w:r>
        <w:rPr>
          <w:sz w:val="24"/>
        </w:rPr>
        <w:t xml:space="preserve">2)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и (или) выполняющих (выполнявших)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отражение вооруженного вторжения),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и (или) задачи по отражению вооруженного вторжения, граждан, призванных на военную службу по мобилизации в Вооруженные Силы Российской Федерации в соответствии с </w:t>
      </w:r>
      <w:hyperlink w:history="0" r:id="rId21" w:tooltip="Указ Президента РФ от 21.09.2022 N 647 &quot;Об объявлении частичной мобилизации в Российской Федерации&quot; {КонсультантПлюс}">
        <w:r>
          <w:rPr>
            <w:sz w:val="24"/>
            <w:color w:val="0000ff"/>
          </w:rPr>
          <w:t xml:space="preserve">Указом</w:t>
        </w:r>
      </w:hyperlink>
      <w:r>
        <w:rPr>
          <w:sz w:val="24"/>
        </w:rPr>
        <w:t xml:space="preserve"> Президента Российской Федерации от 21 сентября 2022 г. N 647 "Об объявлении частичной мобилизации в Российской Федерации", граждан, пребывающих (пребывавших) в добровольческих формированиях, содействующих выполнению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и (или) по отражению вооруженного вторжения, лиц, 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в период их обучения в краевых государственных образовательных организациях, имеющих право реализации основных и дополнительных образовательных программ, не относящихся к типу таких образовательных организаций, осуществляющих в качестве основной цели деятельности образовательную деятельность по основным общеобразовательным программам;</w:t>
      </w:r>
    </w:p>
    <w:bookmarkStart w:id="44" w:name="P44"/>
    <w:bookmarkEnd w:id="44"/>
    <w:p>
      <w:pPr>
        <w:pStyle w:val="0"/>
        <w:spacing w:before="240" w:lineRule="auto"/>
        <w:ind w:firstLine="540"/>
        <w:jc w:val="both"/>
      </w:pPr>
      <w:r>
        <w:rPr>
          <w:sz w:val="24"/>
        </w:rPr>
        <w:t xml:space="preserve">3) в краевых государственных общеобразовательных организациях со специальными наименованиями "специальное учебно-воспитательное учреждение", "кадетская школа", "кадетский (морской кадетский) корпус", "казачий кадетский корпус", подведомственных министерству образования и науки Хабаровского края (далее также - край).</w:t>
      </w:r>
    </w:p>
    <w:p>
      <w:pPr>
        <w:pStyle w:val="0"/>
        <w:spacing w:before="240" w:lineRule="auto"/>
        <w:ind w:firstLine="540"/>
        <w:jc w:val="both"/>
      </w:pPr>
      <w:r>
        <w:rPr>
          <w:sz w:val="24"/>
        </w:rPr>
        <w:t xml:space="preserve">1.2. Для целей настоящего Положения используются следующие понятия:</w:t>
      </w:r>
    </w:p>
    <w:p>
      <w:pPr>
        <w:pStyle w:val="0"/>
        <w:spacing w:before="240" w:lineRule="auto"/>
        <w:ind w:firstLine="540"/>
        <w:jc w:val="both"/>
      </w:pPr>
      <w:r>
        <w:rPr>
          <w:sz w:val="24"/>
        </w:rPr>
        <w:t xml:space="preserve">1) образовательные организации - организации, указанные в </w:t>
      </w:r>
      <w:hyperlink w:history="0" w:anchor="P41" w:tooltip="1.1. Настоящее Положение устанавливает порядок обеспечения бесплатным питанием детей (обучающихся):">
        <w:r>
          <w:rPr>
            <w:sz w:val="24"/>
            <w:color w:val="0000ff"/>
          </w:rPr>
          <w:t xml:space="preserve">пункте 1.1</w:t>
        </w:r>
      </w:hyperlink>
      <w:r>
        <w:rPr>
          <w:sz w:val="24"/>
        </w:rPr>
        <w:t xml:space="preserve"> настоящего раздела;</w:t>
      </w:r>
    </w:p>
    <w:p>
      <w:pPr>
        <w:pStyle w:val="0"/>
        <w:spacing w:before="240" w:lineRule="auto"/>
        <w:ind w:firstLine="540"/>
        <w:jc w:val="both"/>
      </w:pPr>
      <w:r>
        <w:rPr>
          <w:sz w:val="24"/>
        </w:rPr>
        <w:t xml:space="preserve">2) обучающиеся - дети, указанные в </w:t>
      </w:r>
      <w:hyperlink w:history="0" w:anchor="P41" w:tooltip="1.1. Настоящее Положение устанавливает порядок обеспечения бесплатным питанием детей (обучающихся):">
        <w:r>
          <w:rPr>
            <w:sz w:val="24"/>
            <w:color w:val="0000ff"/>
          </w:rPr>
          <w:t xml:space="preserve">пункте 1.1</w:t>
        </w:r>
      </w:hyperlink>
      <w:r>
        <w:rPr>
          <w:sz w:val="24"/>
        </w:rPr>
        <w:t xml:space="preserve"> настоящего раздела.</w:t>
      </w:r>
    </w:p>
    <w:p>
      <w:pPr>
        <w:pStyle w:val="0"/>
        <w:jc w:val="both"/>
      </w:pPr>
      <w:r>
        <w:rPr>
          <w:sz w:val="24"/>
        </w:rPr>
      </w:r>
    </w:p>
    <w:p>
      <w:pPr>
        <w:pStyle w:val="2"/>
        <w:outlineLvl w:val="1"/>
        <w:jc w:val="center"/>
      </w:pPr>
      <w:r>
        <w:rPr>
          <w:sz w:val="24"/>
        </w:rPr>
        <w:t xml:space="preserve">2. Нормы обеспечения бесплатным питанием обучающихся</w:t>
      </w:r>
    </w:p>
    <w:p>
      <w:pPr>
        <w:pStyle w:val="0"/>
        <w:jc w:val="both"/>
      </w:pPr>
      <w:r>
        <w:rPr>
          <w:sz w:val="24"/>
        </w:rPr>
      </w:r>
    </w:p>
    <w:p>
      <w:pPr>
        <w:pStyle w:val="0"/>
        <w:ind w:firstLine="540"/>
        <w:jc w:val="both"/>
      </w:pPr>
      <w:r>
        <w:rPr>
          <w:sz w:val="24"/>
        </w:rPr>
        <w:t xml:space="preserve">2.1. Обеспечение бесплатным питанием обучающихся осуществляется по </w:t>
      </w:r>
      <w:hyperlink w:history="0" w:anchor="P140" w:tooltip="НОРМЫ">
        <w:r>
          <w:rPr>
            <w:sz w:val="24"/>
            <w:color w:val="0000ff"/>
          </w:rPr>
          <w:t xml:space="preserve">нормам</w:t>
        </w:r>
      </w:hyperlink>
      <w:r>
        <w:rPr>
          <w:sz w:val="24"/>
        </w:rPr>
        <w:t xml:space="preserve"> согласно приложению к настоящему Положению с учетом продолжительности их пребывания в образовательной организации:</w:t>
      </w:r>
    </w:p>
    <w:p>
      <w:pPr>
        <w:pStyle w:val="0"/>
        <w:spacing w:before="240" w:lineRule="auto"/>
        <w:ind w:firstLine="540"/>
        <w:jc w:val="both"/>
      </w:pPr>
      <w:r>
        <w:rPr>
          <w:sz w:val="24"/>
        </w:rPr>
        <w:t xml:space="preserve">1) при нахождении обучающихся более 4 часов в день - двухразовое питание;</w:t>
      </w:r>
    </w:p>
    <w:p>
      <w:pPr>
        <w:pStyle w:val="0"/>
        <w:spacing w:before="240" w:lineRule="auto"/>
        <w:ind w:firstLine="540"/>
        <w:jc w:val="both"/>
      </w:pPr>
      <w:r>
        <w:rPr>
          <w:sz w:val="24"/>
        </w:rPr>
        <w:t xml:space="preserve">2) при нахождении обучающихся более 6 часов в день - трехразовое питание;</w:t>
      </w:r>
    </w:p>
    <w:p>
      <w:pPr>
        <w:pStyle w:val="0"/>
        <w:spacing w:before="240" w:lineRule="auto"/>
        <w:ind w:firstLine="540"/>
        <w:jc w:val="both"/>
      </w:pPr>
      <w:r>
        <w:rPr>
          <w:sz w:val="24"/>
        </w:rPr>
        <w:t xml:space="preserve">3) при круглосуточном пребывании - не менее пяти раз в день.</w:t>
      </w:r>
    </w:p>
    <w:p>
      <w:pPr>
        <w:pStyle w:val="0"/>
        <w:spacing w:before="240" w:lineRule="auto"/>
        <w:ind w:firstLine="540"/>
        <w:jc w:val="both"/>
      </w:pPr>
      <w:r>
        <w:rPr>
          <w:sz w:val="24"/>
        </w:rPr>
        <w:t xml:space="preserve">2.2. Обучающиеся обеспечиваются продуктовым набором (пайком) в соответствии с распорядительными актами образовательной организации об обеспечении бесплатным питанием обучающихся и о реализации образовательных программ с применением дистанционных технологий без непосредственного посещения образовательной организации в случаях:</w:t>
      </w:r>
    </w:p>
    <w:p>
      <w:pPr>
        <w:pStyle w:val="0"/>
        <w:spacing w:before="240" w:lineRule="auto"/>
        <w:ind w:firstLine="540"/>
        <w:jc w:val="both"/>
      </w:pPr>
      <w:r>
        <w:rPr>
          <w:sz w:val="24"/>
        </w:rPr>
        <w:t xml:space="preserve">1) установления регионального и (или) местного уровня реагирования на чрезвычайную ситуацию, подтвержденного правовым актом органа государственной власти края и (или) органа местного самоуправления муниципального образования края;</w:t>
      </w:r>
    </w:p>
    <w:p>
      <w:pPr>
        <w:pStyle w:val="0"/>
        <w:spacing w:before="240" w:lineRule="auto"/>
        <w:ind w:firstLine="540"/>
        <w:jc w:val="both"/>
      </w:pPr>
      <w:r>
        <w:rPr>
          <w:sz w:val="24"/>
        </w:rPr>
        <w:t xml:space="preserve">2) установления карантина и (или) иных ограничений, направленных на предотвращение распространения и ликвидацию очагов инфекционных заболеваний человека, заразных и иных болезней животных, подтвержденного федеральным и (или) краевым правовым актом.</w:t>
      </w:r>
    </w:p>
    <w:p>
      <w:pPr>
        <w:pStyle w:val="0"/>
        <w:spacing w:before="240" w:lineRule="auto"/>
        <w:ind w:firstLine="540"/>
        <w:jc w:val="both"/>
      </w:pPr>
      <w:r>
        <w:rPr>
          <w:sz w:val="24"/>
        </w:rPr>
        <w:t xml:space="preserve">2.3. Инвалиды (дети-инвалиды) на период обучения на дому имеют право на выплату компенсации стоимости двухразового питания в денежном эквиваленте (далее - компенсация).</w:t>
      </w:r>
    </w:p>
    <w:p>
      <w:pPr>
        <w:pStyle w:val="0"/>
        <w:spacing w:before="240" w:lineRule="auto"/>
        <w:ind w:firstLine="540"/>
        <w:jc w:val="both"/>
      </w:pPr>
      <w:r>
        <w:rPr>
          <w:sz w:val="24"/>
        </w:rPr>
        <w:t xml:space="preserve">Размер компенсации (К</w:t>
      </w:r>
      <w:r>
        <w:rPr>
          <w:sz w:val="24"/>
          <w:vertAlign w:val="subscript"/>
        </w:rPr>
        <w:t xml:space="preserve">пит</w:t>
      </w:r>
      <w:r>
        <w:rPr>
          <w:sz w:val="24"/>
        </w:rPr>
        <w:t xml:space="preserve">) рассчитывается образовательной организацией по формуле:</w:t>
      </w:r>
    </w:p>
    <w:p>
      <w:pPr>
        <w:pStyle w:val="0"/>
        <w:jc w:val="both"/>
      </w:pPr>
      <w:r>
        <w:rPr>
          <w:sz w:val="24"/>
        </w:rPr>
      </w:r>
    </w:p>
    <w:p>
      <w:pPr>
        <w:pStyle w:val="0"/>
        <w:jc w:val="center"/>
      </w:pPr>
      <w:r>
        <w:rPr>
          <w:sz w:val="24"/>
        </w:rPr>
        <w:t xml:space="preserve">К</w:t>
      </w:r>
      <w:r>
        <w:rPr>
          <w:sz w:val="24"/>
          <w:vertAlign w:val="subscript"/>
        </w:rPr>
        <w:t xml:space="preserve">пит</w:t>
      </w:r>
      <w:r>
        <w:rPr>
          <w:sz w:val="24"/>
        </w:rPr>
        <w:t xml:space="preserve"> = С</w:t>
      </w:r>
      <w:r>
        <w:rPr>
          <w:sz w:val="24"/>
          <w:vertAlign w:val="subscript"/>
        </w:rPr>
        <w:t xml:space="preserve">пит</w:t>
      </w:r>
      <w:r>
        <w:rPr>
          <w:sz w:val="24"/>
        </w:rPr>
        <w:t xml:space="preserve"> x Дней,</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С</w:t>
      </w:r>
      <w:r>
        <w:rPr>
          <w:sz w:val="24"/>
          <w:vertAlign w:val="subscript"/>
        </w:rPr>
        <w:t xml:space="preserve">пит</w:t>
      </w:r>
      <w:r>
        <w:rPr>
          <w:sz w:val="24"/>
        </w:rPr>
        <w:t xml:space="preserve"> - стоимость питания в учебный день;</w:t>
      </w:r>
    </w:p>
    <w:p>
      <w:pPr>
        <w:pStyle w:val="0"/>
        <w:spacing w:before="240" w:lineRule="auto"/>
        <w:ind w:firstLine="540"/>
        <w:jc w:val="both"/>
      </w:pPr>
      <w:r>
        <w:rPr>
          <w:sz w:val="24"/>
        </w:rPr>
        <w:t xml:space="preserve">Дней - количество учебных дней в месяц, установленных календарным учебным графиком.</w:t>
      </w:r>
    </w:p>
    <w:p>
      <w:pPr>
        <w:pStyle w:val="0"/>
        <w:spacing w:before="240" w:lineRule="auto"/>
        <w:ind w:firstLine="540"/>
        <w:jc w:val="both"/>
      </w:pPr>
      <w:r>
        <w:rPr>
          <w:sz w:val="24"/>
        </w:rPr>
        <w:t xml:space="preserve">Размер стоимости питания в учебный день определяется в каждой образовательной организации исходя из стоимости фактических затрат на организацию питания в пределах средств, выделяемых образовательной организации на эти цели.</w:t>
      </w:r>
    </w:p>
    <w:p>
      <w:pPr>
        <w:pStyle w:val="0"/>
        <w:spacing w:before="240" w:lineRule="auto"/>
        <w:ind w:firstLine="540"/>
        <w:jc w:val="both"/>
      </w:pPr>
      <w:r>
        <w:rPr>
          <w:sz w:val="24"/>
        </w:rPr>
        <w:t xml:space="preserve">2.4. При обеспечении питанием детей руководитель образовательной организации вправе в пределах средств, выделяемых образовательной организации на организацию питания, производить замену отдельных продуктов питания на аналогичные продукты питания согласно санитарно-эпидемиологическим правилам и нормам </w:t>
      </w:r>
      <w:hyperlink w:history="0" r:id="rId22"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4"/>
            <w:color w:val="0000ff"/>
          </w:rPr>
          <w:t xml:space="preserve">СанПиН 2.3/2.4.3590-20</w:t>
        </w:r>
      </w:hyperlink>
      <w:r>
        <w:rPr>
          <w:sz w:val="24"/>
        </w:rPr>
        <w:t xml:space="preserve">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 N 32 (далее - СанПиН), в том числе для обеспечения питанием обучающихся, нуждающихся в лечебном и диетическом питании, в соответствии с представленными совершеннолетними обучающимися, родителями или иными законными представителями несовершеннолетних обучающихся (далее - заявители) назначениями лечащего врача.</w:t>
      </w:r>
    </w:p>
    <w:p>
      <w:pPr>
        <w:pStyle w:val="0"/>
        <w:jc w:val="both"/>
      </w:pPr>
      <w:r>
        <w:rPr>
          <w:sz w:val="24"/>
        </w:rPr>
      </w:r>
    </w:p>
    <w:p>
      <w:pPr>
        <w:pStyle w:val="2"/>
        <w:outlineLvl w:val="1"/>
        <w:jc w:val="center"/>
      </w:pPr>
      <w:r>
        <w:rPr>
          <w:sz w:val="24"/>
        </w:rPr>
        <w:t xml:space="preserve">3. Порядок обеспечения бесплатным питанием обучающихся</w:t>
      </w:r>
    </w:p>
    <w:p>
      <w:pPr>
        <w:pStyle w:val="0"/>
        <w:jc w:val="both"/>
      </w:pPr>
      <w:r>
        <w:rPr>
          <w:sz w:val="24"/>
        </w:rPr>
      </w:r>
    </w:p>
    <w:p>
      <w:pPr>
        <w:pStyle w:val="0"/>
        <w:ind w:firstLine="540"/>
        <w:jc w:val="both"/>
      </w:pPr>
      <w:r>
        <w:rPr>
          <w:sz w:val="24"/>
        </w:rPr>
        <w:t xml:space="preserve">3.1. Ответственным за обеспечение бесплатным питанием обучающихся является руководитель образовательной организации.</w:t>
      </w:r>
    </w:p>
    <w:bookmarkStart w:id="72" w:name="P72"/>
    <w:bookmarkEnd w:id="72"/>
    <w:p>
      <w:pPr>
        <w:pStyle w:val="0"/>
        <w:spacing w:before="240" w:lineRule="auto"/>
        <w:ind w:firstLine="540"/>
        <w:jc w:val="both"/>
      </w:pPr>
      <w:r>
        <w:rPr>
          <w:sz w:val="24"/>
        </w:rPr>
        <w:t xml:space="preserve">3.2. Для получения обучающимися бесплатного питания заявители представляют на бумажном носителе в образовательную организацию лично или через представителя при непосредственном обращении, посредством почтового отправления, способом, позволяющим подтвердить факт и дату отправления, либо в электронном виде на адрес электронной почты образовательной организации заявление об обеспечении бесплатным питанием по форме, утвержденной образовательной организацией, и следующие документы (сведения):</w:t>
      </w:r>
    </w:p>
    <w:p>
      <w:pPr>
        <w:pStyle w:val="0"/>
        <w:spacing w:before="240" w:lineRule="auto"/>
        <w:ind w:firstLine="540"/>
        <w:jc w:val="both"/>
      </w:pPr>
      <w:r>
        <w:rPr>
          <w:sz w:val="24"/>
        </w:rPr>
        <w:t xml:space="preserve">1) копию документа, удостоверяющего личность заявителя;</w:t>
      </w:r>
    </w:p>
    <w:p>
      <w:pPr>
        <w:pStyle w:val="0"/>
        <w:spacing w:before="240" w:lineRule="auto"/>
        <w:ind w:firstLine="540"/>
        <w:jc w:val="both"/>
      </w:pPr>
      <w:r>
        <w:rPr>
          <w:sz w:val="24"/>
        </w:rPr>
        <w:t xml:space="preserve">2) копию документа, удостоверяющего личность, и документы, подтверждающие полномочия представителя заявителя, - в случае обращения представителя заявителя;</w:t>
      </w:r>
    </w:p>
    <w:p>
      <w:pPr>
        <w:pStyle w:val="0"/>
        <w:spacing w:before="240" w:lineRule="auto"/>
        <w:ind w:firstLine="540"/>
        <w:jc w:val="both"/>
      </w:pPr>
      <w:r>
        <w:rPr>
          <w:sz w:val="24"/>
        </w:rPr>
        <w:t xml:space="preserve">3) документы, подтверждающие полномочия законного представителя несовершеннолетнего обучающегося (за исключением родителей), - в случае обращения законного представителя несовершеннолетнего обучающегося;</w:t>
      </w:r>
    </w:p>
    <w:p>
      <w:pPr>
        <w:pStyle w:val="0"/>
        <w:spacing w:before="240" w:lineRule="auto"/>
        <w:ind w:firstLine="540"/>
        <w:jc w:val="both"/>
      </w:pPr>
      <w:r>
        <w:rPr>
          <w:sz w:val="24"/>
        </w:rPr>
        <w:t xml:space="preserve">4) копию свидетельства о рождении или иного документа, удостоверяющего личность обучающегося;</w:t>
      </w:r>
    </w:p>
    <w:p>
      <w:pPr>
        <w:pStyle w:val="0"/>
        <w:spacing w:before="240" w:lineRule="auto"/>
        <w:ind w:firstLine="540"/>
        <w:jc w:val="both"/>
      </w:pPr>
      <w:r>
        <w:rPr>
          <w:sz w:val="24"/>
        </w:rPr>
        <w:t xml:space="preserve">5) справку краевого государственного казенного учреждения - центра социальной поддержки населения по месту жительства (месту пребывания) о признании семьи малоимущей, выданную в соответствии с Федеральным </w:t>
      </w:r>
      <w:hyperlink w:history="0" r:id="rId23" w:tooltip="Федеральный закон от 05.04.2003 N 44-ФЗ (ред. от 28.11.2025) &quot;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quot; {КонсультантПлюс}">
        <w:r>
          <w:rPr>
            <w:sz w:val="24"/>
            <w:color w:val="0000ff"/>
          </w:rPr>
          <w:t xml:space="preserve">законом</w:t>
        </w:r>
      </w:hyperlink>
      <w:r>
        <w:rPr>
          <w:sz w:val="24"/>
        </w:rPr>
        <w:t xml:space="preserve"> от 05 апреля 2003 г.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(справка действительна в течение года, предоставляется ежегодно в срок до 01 сентября текущего года) - для малоимущей семьи;</w:t>
      </w:r>
    </w:p>
    <w:p>
      <w:pPr>
        <w:pStyle w:val="0"/>
        <w:spacing w:before="240" w:lineRule="auto"/>
        <w:ind w:firstLine="540"/>
        <w:jc w:val="both"/>
      </w:pPr>
      <w:r>
        <w:rPr>
          <w:sz w:val="24"/>
        </w:rPr>
        <w:t xml:space="preserve">6) удостоверение, подтверждающее статус многодетной семьи в Российской Федерации, - для многодетной семьи;</w:t>
      </w:r>
    </w:p>
    <w:p>
      <w:pPr>
        <w:pStyle w:val="0"/>
        <w:spacing w:before="240" w:lineRule="auto"/>
        <w:ind w:firstLine="540"/>
        <w:jc w:val="both"/>
      </w:pPr>
      <w:r>
        <w:rPr>
          <w:sz w:val="24"/>
        </w:rPr>
        <w:t xml:space="preserve">7) сведения, подтверждающие факт установления инвалидности, или выписку с результатами проведения медико-социальной экспертизы, выданные федеральным государственным учреждением медико-социальной экспертизы - для инвалида (ребенка-инвалида);</w:t>
      </w:r>
    </w:p>
    <w:bookmarkStart w:id="80" w:name="P80"/>
    <w:bookmarkEnd w:id="80"/>
    <w:p>
      <w:pPr>
        <w:pStyle w:val="0"/>
        <w:spacing w:before="240" w:lineRule="auto"/>
        <w:ind w:firstLine="540"/>
        <w:jc w:val="both"/>
      </w:pPr>
      <w:r>
        <w:rPr>
          <w:sz w:val="24"/>
        </w:rPr>
        <w:t xml:space="preserve">8) справку, подтверждающую участие гражданина в специальной военной операции, выданную федеральными органами исполнительной власти (федеральными государственными органами), направлявшими (привлекавшими) его для участия в специальной военной операции, участнику специальной военной операции по </w:t>
      </w:r>
      <w:hyperlink w:history="0" r:id="rId24" w:tooltip="Постановление Правительства РФ от 09.10.2024 N 1354 (ред. от 31.10.2024) &quo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форме</w:t>
        </w:r>
      </w:hyperlink>
      <w:r>
        <w:rPr>
          <w:sz w:val="24"/>
        </w:rPr>
        <w:t xml:space="preserve"> согласно приложению N 1 к Постановлению Правительства Российской Федерации от 09 октября 2024 г.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Постановление N 1354) или членам его семьи по </w:t>
      </w:r>
      <w:hyperlink w:history="0" r:id="rId25" w:tooltip="Постановление Правительства РФ от 09.10.2024 N 1354 (ред. от 31.10.2024) &quo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форме</w:t>
        </w:r>
      </w:hyperlink>
      <w:r>
        <w:rPr>
          <w:sz w:val="24"/>
        </w:rPr>
        <w:t xml:space="preserve"> согласно приложению N 2 к Постановлению N 1354 - для семьи участника специальной военной операции;</w:t>
      </w:r>
    </w:p>
    <w:p>
      <w:pPr>
        <w:pStyle w:val="0"/>
        <w:spacing w:before="240" w:lineRule="auto"/>
        <w:ind w:firstLine="540"/>
        <w:jc w:val="both"/>
      </w:pPr>
      <w:r>
        <w:rPr>
          <w:sz w:val="24"/>
        </w:rPr>
        <w:t xml:space="preserve">9) документы (сведения), подтверждающие участие в специальной военной операции, - в случае отсутствия документа, указанного в </w:t>
      </w:r>
      <w:hyperlink w:history="0" w:anchor="P80" w:tooltip="8) справку, подтверждающую участие гражданина в специальной военной операции, выданную федеральными органами исполнительной власти (федеральными государственными органами), направлявшими (привлекавшими) его для участия в специальной военной операции, участнику специальной военной операции по форме согласно приложению N 1 к Постановлению Правительства Российской Федерации от 09 октября 2024 г. N 1354 &quot;О порядке установления факта участия граждан Российской Федерации в специальной военной операции на терри...">
        <w:r>
          <w:rPr>
            <w:sz w:val="24"/>
            <w:color w:val="0000ff"/>
          </w:rPr>
          <w:t xml:space="preserve">подпункте 8</w:t>
        </w:r>
      </w:hyperlink>
      <w:r>
        <w:rPr>
          <w:sz w:val="24"/>
        </w:rPr>
        <w:t xml:space="preserve"> настоящего пункта, выданные:</w:t>
      </w:r>
    </w:p>
    <w:bookmarkStart w:id="82" w:name="P82"/>
    <w:bookmarkEnd w:id="82"/>
    <w:p>
      <w:pPr>
        <w:pStyle w:val="0"/>
        <w:spacing w:before="240" w:lineRule="auto"/>
        <w:ind w:firstLine="540"/>
        <w:jc w:val="both"/>
      </w:pPr>
      <w:r>
        <w:rPr>
          <w:sz w:val="24"/>
        </w:rPr>
        <w:t xml:space="preserve">а) должностным лицом органа военного управления, командиром (начальником) воинской части, начальником органа военной полиции, начальником гарнизона, иным лицом, постоянно, временно или по специальному полномочию выступающим от имени Вооруженных Сил Российской Федерации, других войск, воинских формирований и органов, в которых федеральным законом предусмотрена военная, правоохранительная служба, осуществляющим функции представителя власти либо выполняющим организационно-распорядительные, административно-хозяйственные функции;</w:t>
      </w:r>
    </w:p>
    <w:p>
      <w:pPr>
        <w:pStyle w:val="0"/>
        <w:spacing w:before="240" w:lineRule="auto"/>
        <w:ind w:firstLine="540"/>
        <w:jc w:val="both"/>
      </w:pPr>
      <w:r>
        <w:rPr>
          <w:sz w:val="24"/>
        </w:rPr>
        <w:t xml:space="preserve">б) для сотрудников уголовно-исполнительной системы Российской Федерации - лицами, указанными в </w:t>
      </w:r>
      <w:hyperlink w:history="0" w:anchor="P82" w:tooltip="а) должностным лицом органа военного управления, командиром (начальником) воинской части, начальником органа военной полиции, начальником гарнизона, иным лицом, постоянно, временно или по специальному полномочию выступающим от имени Вооруженных Сил Российской Федерации, других войск, воинских формирований и органов, в которых федеральным законом предусмотрена военная, правоохранительная служба, осуществляющим функции представителя власти либо выполняющим организационно-распорядительные, административно-х...">
        <w:r>
          <w:rPr>
            <w:sz w:val="24"/>
            <w:color w:val="0000ff"/>
          </w:rPr>
          <w:t xml:space="preserve">подпункте "а"</w:t>
        </w:r>
      </w:hyperlink>
      <w:r>
        <w:rPr>
          <w:sz w:val="24"/>
        </w:rPr>
        <w:t xml:space="preserve"> настоящего подпункта, или должностным лицом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территориального органа уголовно-исполнительной системы, учреждения, исполняющего наказания, следственного изолятора, научно-исследовательской, проектной, медицинской, образовательной и иной организации, входящей в уголовно-исполнительную систему в соответствии с законодательством Российской Федерации;</w:t>
      </w:r>
    </w:p>
    <w:p>
      <w:pPr>
        <w:pStyle w:val="0"/>
        <w:spacing w:before="240" w:lineRule="auto"/>
        <w:ind w:firstLine="540"/>
        <w:jc w:val="both"/>
      </w:pPr>
      <w:r>
        <w:rPr>
          <w:sz w:val="24"/>
        </w:rPr>
        <w:t xml:space="preserve">10) страховой номер индивидуального лицевого счета родителя или иного законного представителя несовершеннолетнего обучающегося;</w:t>
      </w:r>
    </w:p>
    <w:p>
      <w:pPr>
        <w:pStyle w:val="0"/>
        <w:spacing w:before="240" w:lineRule="auto"/>
        <w:ind w:firstLine="540"/>
        <w:jc w:val="both"/>
      </w:pPr>
      <w:r>
        <w:rPr>
          <w:sz w:val="24"/>
        </w:rPr>
        <w:t xml:space="preserve">11) страховой номер индивидуального лицевого счета обучающегося;</w:t>
      </w:r>
    </w:p>
    <w:p>
      <w:pPr>
        <w:pStyle w:val="0"/>
        <w:spacing w:before="240" w:lineRule="auto"/>
        <w:ind w:firstLine="540"/>
        <w:jc w:val="both"/>
      </w:pPr>
      <w:r>
        <w:rPr>
          <w:sz w:val="24"/>
        </w:rPr>
        <w:t xml:space="preserve">12) согласие заявителя на обработку его персональных данных по форме, утвержденной образовательной организацией.</w:t>
      </w:r>
    </w:p>
    <w:p>
      <w:pPr>
        <w:pStyle w:val="0"/>
        <w:spacing w:before="240" w:lineRule="auto"/>
        <w:ind w:firstLine="540"/>
        <w:jc w:val="both"/>
      </w:pPr>
      <w:r>
        <w:rPr>
          <w:sz w:val="24"/>
        </w:rPr>
        <w:t xml:space="preserve">3.3. Для получения обучающимися бесплатных продуктовых наборов (пайков) при реализации образовательных программ с применением дистанционных технологий без непосредственного посещения обучающимися образовательной организации заявители представляют в образовательную организацию способом, указанным в </w:t>
      </w:r>
      <w:hyperlink w:history="0" w:anchor="P72" w:tooltip="3.2. Для получения обучающимися бесплатного питания заявители представляют на бумажном носителе в образовательную организацию лично или через представителя при непосредственном обращении, посредством почтового отправления, способом, позволяющим подтвердить факт и дату отправления, либо в электронном виде на адрес электронной почты образовательной организации заявление об обеспечении бесплатным питанием по форме, утвержденной образовательной организацией, и следующие документы (сведения):">
        <w:r>
          <w:rPr>
            <w:sz w:val="24"/>
            <w:color w:val="0000ff"/>
          </w:rPr>
          <w:t xml:space="preserve">абзаце первом пункта 3.2</w:t>
        </w:r>
      </w:hyperlink>
      <w:r>
        <w:rPr>
          <w:sz w:val="24"/>
        </w:rPr>
        <w:t xml:space="preserve"> настоящего раздела, заявление о выдаче продуктовых наборов (пайков) по форме, утвержденной образовательной организацией.</w:t>
      </w:r>
    </w:p>
    <w:p>
      <w:pPr>
        <w:pStyle w:val="0"/>
        <w:spacing w:before="240" w:lineRule="auto"/>
        <w:ind w:firstLine="540"/>
        <w:jc w:val="both"/>
      </w:pPr>
      <w:r>
        <w:rPr>
          <w:sz w:val="24"/>
        </w:rPr>
        <w:t xml:space="preserve">3.4. Для выплаты компенсации заявители представляют в образовательную организацию способом, указанным в </w:t>
      </w:r>
      <w:hyperlink w:history="0" w:anchor="P72" w:tooltip="3.2. Для получения обучающимися бесплатного питания заявители представляют на бумажном носителе в образовательную организацию лично или через представителя при непосредственном обращении, посредством почтового отправления, способом, позволяющим подтвердить факт и дату отправления, либо в электронном виде на адрес электронной почты образовательной организации заявление об обеспечении бесплатным питанием по форме, утвержденной образовательной организацией, и следующие документы (сведения):">
        <w:r>
          <w:rPr>
            <w:sz w:val="24"/>
            <w:color w:val="0000ff"/>
          </w:rPr>
          <w:t xml:space="preserve">абзаце первом пункта 3.2</w:t>
        </w:r>
      </w:hyperlink>
      <w:r>
        <w:rPr>
          <w:sz w:val="24"/>
        </w:rPr>
        <w:t xml:space="preserve"> настоящего раздела, заявление о выплате компенсации по форме, утвержденной образовательной организацией, с приложением документов (сведений), указанных в </w:t>
      </w:r>
      <w:hyperlink w:history="0" w:anchor="P72" w:tooltip="3.2. Для получения обучающимися бесплатного питания заявители представляют на бумажном носителе в образовательную организацию лично или через представителя при непосредственном обращении, посредством почтового отправления, способом, позволяющим подтвердить факт и дату отправления, либо в электронном виде на адрес электронной почты образовательной организации заявление об обеспечении бесплатным питанием по форме, утвержденной образовательной организацией, и следующие документы (сведения):">
        <w:r>
          <w:rPr>
            <w:sz w:val="24"/>
            <w:color w:val="0000ff"/>
          </w:rPr>
          <w:t xml:space="preserve">пункте 3.2</w:t>
        </w:r>
      </w:hyperlink>
      <w:r>
        <w:rPr>
          <w:sz w:val="24"/>
        </w:rPr>
        <w:t xml:space="preserve"> настоящего раздела (далее также - документы), - в случае, если заявитель ранее не обращался за обеспечением инвалида (ребенка-инвалида) бесплатным питанием.</w:t>
      </w:r>
    </w:p>
    <w:p>
      <w:pPr>
        <w:pStyle w:val="0"/>
        <w:spacing w:before="240" w:lineRule="auto"/>
        <w:ind w:firstLine="540"/>
        <w:jc w:val="both"/>
      </w:pPr>
      <w:r>
        <w:rPr>
          <w:sz w:val="24"/>
        </w:rPr>
        <w:t xml:space="preserve">3.5. Документы представляются в оригиналах либо копиях, заверенных в установленном законодательством Российской Федерации порядке.</w:t>
      </w:r>
    </w:p>
    <w:p>
      <w:pPr>
        <w:pStyle w:val="0"/>
        <w:spacing w:before="240" w:lineRule="auto"/>
        <w:ind w:firstLine="540"/>
        <w:jc w:val="both"/>
      </w:pPr>
      <w:r>
        <w:rPr>
          <w:sz w:val="24"/>
        </w:rPr>
        <w:t xml:space="preserve">В случае представления оригиналов документов при непосредственном обращении работник образовательной организации снимает копии с представленных документов (кроме согласий на обработку персональных данных), выполняет надпись об их соответствии оригинальным экземплярам, которую заверяет своей подписью с указанием занимаемой должности, фамилии и инициалов, печатью, выдает расписку о приеме заявления об обеспечении бесплатным питанием или о выдаче продуктовых наборов (пайков), или о выплате компенсации (далее также - заявление и предоставление мер поддержки соответственно) и прилагаемых к нему документов. Оригиналы документов возвращаются в день их представления (кроме согласий на обработку персональных данных).</w:t>
      </w:r>
    </w:p>
    <w:p>
      <w:pPr>
        <w:pStyle w:val="0"/>
        <w:spacing w:before="240" w:lineRule="auto"/>
        <w:ind w:firstLine="540"/>
        <w:jc w:val="both"/>
      </w:pPr>
      <w:r>
        <w:rPr>
          <w:sz w:val="24"/>
        </w:rPr>
        <w:t xml:space="preserve">В случае подачи заявления с использованием почтовой связи с заявлением направляются копии документов, заверенные в установленном законодательством Российской Федерации порядке, оригиналы документов не направляются, за исключением согласий на обработку персональных данных.</w:t>
      </w:r>
    </w:p>
    <w:bookmarkStart w:id="92" w:name="P92"/>
    <w:bookmarkEnd w:id="92"/>
    <w:p>
      <w:pPr>
        <w:pStyle w:val="0"/>
        <w:spacing w:before="240" w:lineRule="auto"/>
        <w:ind w:firstLine="540"/>
        <w:jc w:val="both"/>
      </w:pPr>
      <w:r>
        <w:rPr>
          <w:sz w:val="24"/>
        </w:rPr>
        <w:t xml:space="preserve">В случае подачи заявления в электронном виде на адрес электронной почты образовательной организации с заявлением направляются копии документов, заверенные в установленном законодательством Российской Федерации порядке, с представлением заявителем в образовательную организацию оригиналов документов не позднее одного рабочего дня со дня регистрации заявления. Оригиналы документов возвращаются в день их представления (кроме согласий на обработку персональных данных).</w:t>
      </w:r>
    </w:p>
    <w:p>
      <w:pPr>
        <w:pStyle w:val="0"/>
        <w:spacing w:before="240" w:lineRule="auto"/>
        <w:ind w:firstLine="540"/>
        <w:jc w:val="both"/>
      </w:pPr>
      <w:r>
        <w:rPr>
          <w:sz w:val="24"/>
        </w:rPr>
        <w:t xml:space="preserve">3.6. Заявление регистрируется образовательной организацией не позднее одного рабочего дня со дня его поступления в образовательную организацию.</w:t>
      </w:r>
    </w:p>
    <w:p>
      <w:pPr>
        <w:pStyle w:val="0"/>
        <w:spacing w:before="240" w:lineRule="auto"/>
        <w:ind w:firstLine="540"/>
        <w:jc w:val="both"/>
      </w:pPr>
      <w:r>
        <w:rPr>
          <w:sz w:val="24"/>
        </w:rPr>
        <w:t xml:space="preserve">3.7. Решение о предоставлении либо об отказе в предоставлении мер поддержки принимается образовательной организацией в течение пяти рабочих дней со дня регистрации заявления.</w:t>
      </w:r>
    </w:p>
    <w:p>
      <w:pPr>
        <w:pStyle w:val="0"/>
        <w:spacing w:before="240" w:lineRule="auto"/>
        <w:ind w:firstLine="540"/>
        <w:jc w:val="both"/>
      </w:pPr>
      <w:r>
        <w:rPr>
          <w:sz w:val="24"/>
        </w:rPr>
        <w:t xml:space="preserve">Решение о предоставлении либо об отказе в предоставлении мер поддержки принимается образовательной организацией в форме распорядительного акта.</w:t>
      </w:r>
    </w:p>
    <w:p>
      <w:pPr>
        <w:pStyle w:val="0"/>
        <w:spacing w:before="240" w:lineRule="auto"/>
        <w:ind w:firstLine="540"/>
        <w:jc w:val="both"/>
      </w:pPr>
      <w:r>
        <w:rPr>
          <w:sz w:val="24"/>
        </w:rPr>
        <w:t xml:space="preserve">3.8. Основаниями для отказа в предоставлении мер поддержки являются:</w:t>
      </w:r>
    </w:p>
    <w:p>
      <w:pPr>
        <w:pStyle w:val="0"/>
        <w:spacing w:before="240" w:lineRule="auto"/>
        <w:ind w:firstLine="540"/>
        <w:jc w:val="both"/>
      </w:pPr>
      <w:r>
        <w:rPr>
          <w:sz w:val="24"/>
        </w:rPr>
        <w:t xml:space="preserve">1) утрата обучающимся оснований, дающих ему право на предоставление мер поддержки в соответствии с </w:t>
      </w:r>
      <w:hyperlink w:history="0" w:anchor="P41" w:tooltip="1.1. Настоящее Положение устанавливает порядок обеспечения бесплатным питанием детей (обучающихся):">
        <w:r>
          <w:rPr>
            <w:sz w:val="24"/>
            <w:color w:val="0000ff"/>
          </w:rPr>
          <w:t xml:space="preserve">пунктом 1.1 раздела 1</w:t>
        </w:r>
      </w:hyperlink>
      <w:r>
        <w:rPr>
          <w:sz w:val="24"/>
        </w:rPr>
        <w:t xml:space="preserve"> настоящего Положения;</w:t>
      </w:r>
    </w:p>
    <w:p>
      <w:pPr>
        <w:pStyle w:val="0"/>
        <w:spacing w:before="240" w:lineRule="auto"/>
        <w:ind w:firstLine="540"/>
        <w:jc w:val="both"/>
      </w:pPr>
      <w:r>
        <w:rPr>
          <w:sz w:val="24"/>
        </w:rPr>
        <w:t xml:space="preserve">2) непредставление заявителем заполненного заявления об обеспечении бесплатным питанием и (или) полного комплекта документов - в случае обращения заявителя с заявлением об обеспечении бесплатным питанием;</w:t>
      </w:r>
    </w:p>
    <w:p>
      <w:pPr>
        <w:pStyle w:val="0"/>
        <w:spacing w:before="240" w:lineRule="auto"/>
        <w:ind w:firstLine="540"/>
        <w:jc w:val="both"/>
      </w:pPr>
      <w:r>
        <w:rPr>
          <w:sz w:val="24"/>
        </w:rPr>
        <w:t xml:space="preserve">3) непредставление заявителем заполненного заявления о выдаче продуктовых наборов (пайков) - в случае обращения заявителя с заявлением о выдаче продуктовых наборов (пайков);</w:t>
      </w:r>
    </w:p>
    <w:p>
      <w:pPr>
        <w:pStyle w:val="0"/>
        <w:spacing w:before="240" w:lineRule="auto"/>
        <w:ind w:firstLine="540"/>
        <w:jc w:val="both"/>
      </w:pPr>
      <w:r>
        <w:rPr>
          <w:sz w:val="24"/>
        </w:rPr>
        <w:t xml:space="preserve">4) непредставление заявителем заполненного заявления о выплате компенсации и (или) полного комплекта документов - в случае, если заявитель ранее не обращался за обеспечением инвалида (ребенка-инвалида) бесплатным питанием;</w:t>
      </w:r>
    </w:p>
    <w:p>
      <w:pPr>
        <w:pStyle w:val="0"/>
        <w:spacing w:before="240" w:lineRule="auto"/>
        <w:ind w:firstLine="540"/>
        <w:jc w:val="both"/>
      </w:pPr>
      <w:r>
        <w:rPr>
          <w:sz w:val="24"/>
        </w:rPr>
        <w:t xml:space="preserve">5) непредставление заявителем заполненного заявления о выплате компенсации - в случае, если заявитель ранее обращался за обеспечением инвалида (ребенка-инвалида) бесплатным питанием;</w:t>
      </w:r>
    </w:p>
    <w:p>
      <w:pPr>
        <w:pStyle w:val="0"/>
        <w:spacing w:before="240" w:lineRule="auto"/>
        <w:ind w:firstLine="540"/>
        <w:jc w:val="both"/>
      </w:pPr>
      <w:r>
        <w:rPr>
          <w:sz w:val="24"/>
        </w:rPr>
        <w:t xml:space="preserve">6) непредставление заявителем оригиналов документов в срок, указанный в </w:t>
      </w:r>
      <w:hyperlink w:history="0" w:anchor="P92" w:tooltip="В случае подачи заявления в электронном виде на адрес электронной почты образовательной организации с заявлением направляются копии документов, заверенные в установленном законодательством Российской Федерации порядке, с представлением заявителем в образовательную организацию оригиналов документов не позднее одного рабочего дня со дня регистрации заявления. Оригиналы документов возвращаются в день их представления (кроме согласий на обработку персональных данных).">
        <w:r>
          <w:rPr>
            <w:sz w:val="24"/>
            <w:color w:val="0000ff"/>
          </w:rPr>
          <w:t xml:space="preserve">абзаце четвертом пункта 3.5</w:t>
        </w:r>
      </w:hyperlink>
      <w:r>
        <w:rPr>
          <w:sz w:val="24"/>
        </w:rPr>
        <w:t xml:space="preserve"> настоящего раздела, - в случае, если заявитель подал заявление в электронном виде на адрес электронной почты образовательной организации.</w:t>
      </w:r>
    </w:p>
    <w:bookmarkStart w:id="103" w:name="P103"/>
    <w:bookmarkEnd w:id="103"/>
    <w:p>
      <w:pPr>
        <w:pStyle w:val="0"/>
        <w:spacing w:before="240" w:lineRule="auto"/>
        <w:ind w:firstLine="540"/>
        <w:jc w:val="both"/>
      </w:pPr>
      <w:r>
        <w:rPr>
          <w:sz w:val="24"/>
        </w:rPr>
        <w:t xml:space="preserve">3.9. Уведомление об отказе в предоставлении мер поддержки с указанием оснований, по которым заявителю отказано (далее - уведомление), выдается лично или направляется заявителю по адресу, указанному в заявлении, не позднее трех рабочих дней со дня издания образовательной организацией распорядительного акта.</w:t>
      </w:r>
    </w:p>
    <w:p>
      <w:pPr>
        <w:pStyle w:val="0"/>
        <w:spacing w:before="240" w:lineRule="auto"/>
        <w:ind w:firstLine="540"/>
        <w:jc w:val="both"/>
      </w:pPr>
      <w:r>
        <w:rPr>
          <w:sz w:val="24"/>
        </w:rPr>
        <w:t xml:space="preserve">По желанию заявителя уведомление может быть направлено иным не противоречащим законодательству способом.</w:t>
      </w:r>
    </w:p>
    <w:p>
      <w:pPr>
        <w:pStyle w:val="0"/>
        <w:spacing w:before="240" w:lineRule="auto"/>
        <w:ind w:firstLine="540"/>
        <w:jc w:val="both"/>
      </w:pPr>
      <w:r>
        <w:rPr>
          <w:sz w:val="24"/>
        </w:rPr>
        <w:t xml:space="preserve">3.10. Обеспечение бесплатным питанием обучающихся в образовательных организациях, указанных в </w:t>
      </w:r>
      <w:hyperlink w:history="0" w:anchor="P42" w:tooltip="1) из малоимущих и (или) многодетных семей, инвалидов (детей-инвалидов), не имеющих одновременно статуса обучающихся с ограниченными возможностями здоровья (далее - инвалиды (дети-инвалиды), в период их обучения в краевых государственных общеобразовательных организациях, краевых государственных образовательных организациях, имеющих право реализации основных и дополнительных образовательных программ, не относящихся к типу таких образовательных организаций, осуществляющих в качестве основной цели деятельно...">
        <w:r>
          <w:rPr>
            <w:sz w:val="24"/>
            <w:color w:val="0000ff"/>
          </w:rPr>
          <w:t xml:space="preserve">подпунктах 1</w:t>
        </w:r>
      </w:hyperlink>
      <w:r>
        <w:rPr>
          <w:sz w:val="24"/>
        </w:rPr>
        <w:t xml:space="preserve">, </w:t>
      </w:r>
      <w:hyperlink w:history="0" w:anchor="P43" w:tooltip="2)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и (или) выполняющих (выполнявших) задачи по отраж...">
        <w:r>
          <w:rPr>
            <w:sz w:val="24"/>
            <w:color w:val="0000ff"/>
          </w:rPr>
          <w:t xml:space="preserve">2 пункта 1.1 раздела 1</w:t>
        </w:r>
      </w:hyperlink>
      <w:r>
        <w:rPr>
          <w:sz w:val="24"/>
        </w:rPr>
        <w:t xml:space="preserve"> настоящего Положения, осуществляется со дня, следующего за днем издания распорядительного акта об обеспечении бесплатным питанием.</w:t>
      </w:r>
    </w:p>
    <w:p>
      <w:pPr>
        <w:pStyle w:val="0"/>
        <w:spacing w:before="240" w:lineRule="auto"/>
        <w:ind w:firstLine="540"/>
        <w:jc w:val="both"/>
      </w:pPr>
      <w:r>
        <w:rPr>
          <w:sz w:val="24"/>
        </w:rPr>
        <w:t xml:space="preserve">Обеспечение бесплатным питанием обучающихся в образовательных организациях, указанных в </w:t>
      </w:r>
      <w:hyperlink w:history="0" w:anchor="P44" w:tooltip="3) в краевых государственных общеобразовательных организациях со специальными наименованиями &quot;специальное учебно-воспитательное учреждение&quot;, &quot;кадетская школа&quot;, &quot;кадетский (морской кадетский) корпус&quot;, &quot;казачий кадетский корпус&quot;, подведомственных министерству образования и науки Хабаровского края (далее также - край).">
        <w:r>
          <w:rPr>
            <w:sz w:val="24"/>
            <w:color w:val="0000ff"/>
          </w:rPr>
          <w:t xml:space="preserve">подпункте 3 пункта 1.1 раздела 1</w:t>
        </w:r>
      </w:hyperlink>
      <w:r>
        <w:rPr>
          <w:sz w:val="24"/>
        </w:rPr>
        <w:t xml:space="preserve"> настоящего Положения, осуществляется со дня, следующего за днем издания приказа о зачислении на обучение.</w:t>
      </w:r>
    </w:p>
    <w:p>
      <w:pPr>
        <w:pStyle w:val="0"/>
        <w:spacing w:before="240" w:lineRule="auto"/>
        <w:ind w:firstLine="540"/>
        <w:jc w:val="both"/>
      </w:pPr>
      <w:r>
        <w:rPr>
          <w:sz w:val="24"/>
        </w:rPr>
        <w:t xml:space="preserve">3.11. Выдача продуктовых наборов (пайков) осуществляется на период организации образовательной деятельности с применением дистанционных технологий без непосредственного посещения обучающимися образовательной организации из расчета один набор на день фактического обучения.</w:t>
      </w:r>
    </w:p>
    <w:p>
      <w:pPr>
        <w:pStyle w:val="0"/>
        <w:spacing w:before="240" w:lineRule="auto"/>
        <w:ind w:firstLine="540"/>
        <w:jc w:val="both"/>
      </w:pPr>
      <w:r>
        <w:rPr>
          <w:sz w:val="24"/>
        </w:rPr>
        <w:t xml:space="preserve">3.12. Выплата компенсации производится ежемесячно на основании распорядительного акта образовательной организации о выплате компенсации за каждый месяц не позднее 10-го числа месяца, следующего за истекшим месяцем обучения, путем перечисления денежных средств по реквизитам платежной карты национальной системы платежных карт, указанным в заявлении о выплате компенсации.</w:t>
      </w:r>
    </w:p>
    <w:p>
      <w:pPr>
        <w:pStyle w:val="0"/>
        <w:spacing w:before="240" w:lineRule="auto"/>
        <w:ind w:firstLine="540"/>
        <w:jc w:val="both"/>
      </w:pPr>
      <w:r>
        <w:rPr>
          <w:sz w:val="24"/>
        </w:rPr>
        <w:t xml:space="preserve">3.13. При изменении доходов и (или) состава семьи заявителя заявитель обязан не позднее чем в месячный срок со дня возникновения указанных обстоятельств в письменной форме сообщить об этом в образовательную организацию.</w:t>
      </w:r>
    </w:p>
    <w:p>
      <w:pPr>
        <w:pStyle w:val="0"/>
        <w:spacing w:before="240" w:lineRule="auto"/>
        <w:ind w:firstLine="540"/>
        <w:jc w:val="both"/>
      </w:pPr>
      <w:r>
        <w:rPr>
          <w:sz w:val="24"/>
        </w:rPr>
        <w:t xml:space="preserve">3.14. Порядок организации бесплатного питания обучающихся устанавливается локальным актом образовательной организации в соответствии с действующим законодательством и СанПиН.</w:t>
      </w:r>
    </w:p>
    <w:p>
      <w:pPr>
        <w:pStyle w:val="0"/>
        <w:spacing w:before="240" w:lineRule="auto"/>
        <w:ind w:firstLine="540"/>
        <w:jc w:val="both"/>
      </w:pPr>
      <w:r>
        <w:rPr>
          <w:sz w:val="24"/>
        </w:rPr>
        <w:t xml:space="preserve">3.15. Бесплатное питание предоставляется обучающимся в дни их фактического посещения образовательной организации, в том числе во время проведения в рамках образовательного процесса мероприятий за пределами образовательной организации.</w:t>
      </w:r>
    </w:p>
    <w:p>
      <w:pPr>
        <w:pStyle w:val="0"/>
        <w:spacing w:before="240" w:lineRule="auto"/>
        <w:ind w:firstLine="540"/>
        <w:jc w:val="both"/>
      </w:pPr>
      <w:r>
        <w:rPr>
          <w:sz w:val="24"/>
        </w:rPr>
        <w:t xml:space="preserve">3.16. В случае неявки обучающегося в образовательную организацию в связи с болезнью или по иным причинам обеспечение обучающегося бесплатным питанием не осуществляется, компенсация за питание в денежной или натуральной форме не производится.</w:t>
      </w:r>
    </w:p>
    <w:bookmarkStart w:id="113" w:name="P113"/>
    <w:bookmarkEnd w:id="113"/>
    <w:p>
      <w:pPr>
        <w:pStyle w:val="0"/>
        <w:spacing w:before="240" w:lineRule="auto"/>
        <w:ind w:firstLine="540"/>
        <w:jc w:val="both"/>
      </w:pPr>
      <w:r>
        <w:rPr>
          <w:sz w:val="24"/>
        </w:rPr>
        <w:t xml:space="preserve">3.17. Обеспечение бесплатным питанием прекращается:</w:t>
      </w:r>
    </w:p>
    <w:p>
      <w:pPr>
        <w:pStyle w:val="0"/>
        <w:spacing w:before="240" w:lineRule="auto"/>
        <w:ind w:firstLine="540"/>
        <w:jc w:val="both"/>
      </w:pPr>
      <w:r>
        <w:rPr>
          <w:sz w:val="24"/>
        </w:rPr>
        <w:t xml:space="preserve">1) в случае отчисления обучающегося из образовательной организации со дня, следующего за днем издания распорядительного акта об отчислении обучающегося из образовательной организации;</w:t>
      </w:r>
    </w:p>
    <w:p>
      <w:pPr>
        <w:pStyle w:val="0"/>
        <w:spacing w:before="240" w:lineRule="auto"/>
        <w:ind w:firstLine="540"/>
        <w:jc w:val="both"/>
      </w:pPr>
      <w:r>
        <w:rPr>
          <w:sz w:val="24"/>
        </w:rPr>
        <w:t xml:space="preserve">2) в случае утраты семьей обучающегося статуса малоимущей и (или) многодетной семьи со дня подачи письменного заявления об изменении доходов и (или) состава семьи обучающегося или со дня выявления указанного факта образовательной организацией;</w:t>
      </w:r>
    </w:p>
    <w:p>
      <w:pPr>
        <w:pStyle w:val="0"/>
        <w:spacing w:before="240" w:lineRule="auto"/>
        <w:ind w:firstLine="540"/>
        <w:jc w:val="both"/>
      </w:pPr>
      <w:r>
        <w:rPr>
          <w:sz w:val="24"/>
        </w:rPr>
        <w:t xml:space="preserve">3) в случае истечения установленного справкой медико-социальной экспертизы срока инвалидности и непредставления новой справки.</w:t>
      </w:r>
    </w:p>
    <w:p>
      <w:pPr>
        <w:pStyle w:val="0"/>
        <w:spacing w:before="240" w:lineRule="auto"/>
        <w:ind w:firstLine="540"/>
        <w:jc w:val="both"/>
      </w:pPr>
      <w:r>
        <w:rPr>
          <w:sz w:val="24"/>
        </w:rPr>
        <w:t xml:space="preserve">3.18. Выдача продуктовых наборов (пайков) прекращается при отмене деятельности с применением дистанционных технологий без непосредственного посещения обучающимися образовательных организаций.</w:t>
      </w:r>
    </w:p>
    <w:p>
      <w:pPr>
        <w:pStyle w:val="0"/>
        <w:spacing w:before="240" w:lineRule="auto"/>
        <w:ind w:firstLine="540"/>
        <w:jc w:val="both"/>
      </w:pPr>
      <w:r>
        <w:rPr>
          <w:sz w:val="24"/>
        </w:rPr>
        <w:t xml:space="preserve">3.19. Выплата компенсации прекращается:</w:t>
      </w:r>
    </w:p>
    <w:p>
      <w:pPr>
        <w:pStyle w:val="0"/>
        <w:spacing w:before="240" w:lineRule="auto"/>
        <w:ind w:firstLine="540"/>
        <w:jc w:val="both"/>
      </w:pPr>
      <w:r>
        <w:rPr>
          <w:sz w:val="24"/>
        </w:rPr>
        <w:t xml:space="preserve">1) в случае истечения установленного справкой медико-социальной экспертизы срока инвалидности и непредставления новой справки;</w:t>
      </w:r>
    </w:p>
    <w:p>
      <w:pPr>
        <w:pStyle w:val="0"/>
        <w:spacing w:before="240" w:lineRule="auto"/>
        <w:ind w:firstLine="540"/>
        <w:jc w:val="both"/>
      </w:pPr>
      <w:r>
        <w:rPr>
          <w:sz w:val="24"/>
        </w:rPr>
        <w:t xml:space="preserve">2) в случае прекращения основания организации обучения на дому.</w:t>
      </w:r>
    </w:p>
    <w:p>
      <w:pPr>
        <w:pStyle w:val="0"/>
        <w:spacing w:before="240" w:lineRule="auto"/>
        <w:ind w:firstLine="540"/>
        <w:jc w:val="both"/>
      </w:pPr>
      <w:r>
        <w:rPr>
          <w:sz w:val="24"/>
        </w:rPr>
        <w:t xml:space="preserve">3.20. Образовательная организация, указанная в </w:t>
      </w:r>
      <w:hyperlink w:history="0" w:anchor="P42" w:tooltip="1) из малоимущих и (или) многодетных семей, инвалидов (детей-инвалидов), не имеющих одновременно статуса обучающихся с ограниченными возможностями здоровья (далее - инвалиды (дети-инвалиды), в период их обучения в краевых государственных общеобразовательных организациях, краевых государственных образовательных организациях, имеющих право реализации основных и дополнительных образовательных программ, не относящихся к типу таких образовательных организаций, осуществляющих в качестве основной цели деятельно...">
        <w:r>
          <w:rPr>
            <w:sz w:val="24"/>
            <w:color w:val="0000ff"/>
          </w:rPr>
          <w:t xml:space="preserve">подпункте 1 пункта 1.1 раздела 1</w:t>
        </w:r>
      </w:hyperlink>
      <w:r>
        <w:rPr>
          <w:sz w:val="24"/>
        </w:rPr>
        <w:t xml:space="preserve"> настоящего Положения, в течение трех рабочих дней со дня поступления информации, указанной в </w:t>
      </w:r>
      <w:hyperlink w:history="0" w:anchor="P113" w:tooltip="3.17. Обеспечение бесплатным питанием прекращается:">
        <w:r>
          <w:rPr>
            <w:sz w:val="24"/>
            <w:color w:val="0000ff"/>
          </w:rPr>
          <w:t xml:space="preserve">пункте 3.17</w:t>
        </w:r>
      </w:hyperlink>
      <w:r>
        <w:rPr>
          <w:sz w:val="24"/>
        </w:rPr>
        <w:t xml:space="preserve"> настоящего раздела, письменно уведомляет заявителя о прекращении обеспечения бесплатным питанием обучающегося способом, указанным в </w:t>
      </w:r>
      <w:hyperlink w:history="0" w:anchor="P103" w:tooltip="3.9. Уведомление об отказе в предоставлении мер поддержки с указанием оснований, по которым заявителю отказано (далее - уведомление), выдается лично или направляется заявителю по адресу, указанному в заявлении, не позднее трех рабочих дней со дня издания образовательной организацией распорядительного акта.">
        <w:r>
          <w:rPr>
            <w:sz w:val="24"/>
            <w:color w:val="0000ff"/>
          </w:rPr>
          <w:t xml:space="preserve">пункте 3.9</w:t>
        </w:r>
      </w:hyperlink>
      <w:r>
        <w:rPr>
          <w:sz w:val="24"/>
        </w:rPr>
        <w:t xml:space="preserve"> настоящего раздела.</w:t>
      </w:r>
    </w:p>
    <w:p>
      <w:pPr>
        <w:pStyle w:val="0"/>
        <w:jc w:val="both"/>
      </w:pPr>
      <w:r>
        <w:rPr>
          <w:sz w:val="24"/>
        </w:rPr>
      </w:r>
    </w:p>
    <w:p>
      <w:pPr>
        <w:pStyle w:val="2"/>
        <w:outlineLvl w:val="1"/>
        <w:jc w:val="center"/>
      </w:pPr>
      <w:r>
        <w:rPr>
          <w:sz w:val="24"/>
        </w:rPr>
        <w:t xml:space="preserve">4. Финансирование обеспечения</w:t>
      </w:r>
    </w:p>
    <w:p>
      <w:pPr>
        <w:pStyle w:val="2"/>
        <w:jc w:val="center"/>
      </w:pPr>
      <w:r>
        <w:rPr>
          <w:sz w:val="24"/>
        </w:rPr>
        <w:t xml:space="preserve">бесплатным питанием обучающихся</w:t>
      </w:r>
    </w:p>
    <w:p>
      <w:pPr>
        <w:pStyle w:val="0"/>
        <w:jc w:val="both"/>
      </w:pPr>
      <w:r>
        <w:rPr>
          <w:sz w:val="24"/>
        </w:rPr>
      </w:r>
    </w:p>
    <w:p>
      <w:pPr>
        <w:pStyle w:val="0"/>
        <w:ind w:firstLine="540"/>
        <w:jc w:val="both"/>
      </w:pPr>
      <w:r>
        <w:rPr>
          <w:sz w:val="24"/>
        </w:rPr>
        <w:t xml:space="preserve">4.1. Финансовое обеспечение расходов, связанных с обеспечением бесплатным питанием обучающихся, производится за счет средств краевого бюджета, предусмотренных министерству образования и науки края на реализацию государственной </w:t>
      </w:r>
      <w:hyperlink w:history="0" r:id="rId26" w:tooltip="Постановление Правительства Хабаровского края от 05.06.2012 N 177-пр (ред. от 13.11.2025) &quot;О государственной программе Хабаровского края &quot;Развитие образования в Хабаровском крае&quot; {КонсультантПлюс}">
        <w:r>
          <w:rPr>
            <w:sz w:val="24"/>
            <w:color w:val="0000ff"/>
          </w:rPr>
          <w:t xml:space="preserve">программы</w:t>
        </w:r>
      </w:hyperlink>
      <w:r>
        <w:rPr>
          <w:sz w:val="24"/>
        </w:rPr>
        <w:t xml:space="preserve"> Хабаровского края "Развитие образования в Хабаровском крае", утвержденной постановлением Правительства Хабаровского края от 05 июня 2012 г. N 177-пр.</w:t>
      </w:r>
    </w:p>
    <w:p>
      <w:pPr>
        <w:pStyle w:val="0"/>
        <w:spacing w:before="240" w:lineRule="auto"/>
        <w:ind w:firstLine="540"/>
        <w:jc w:val="both"/>
      </w:pPr>
      <w:r>
        <w:rPr>
          <w:sz w:val="24"/>
        </w:rPr>
        <w:t xml:space="preserve">4.2. Доведение средств краевого бюджета до образовательной организации для обеспечения бесплатным питанием обучающихся осуществляется в соответствии с бюджетным законодательством Российской Федерации.</w:t>
      </w:r>
    </w:p>
    <w:p>
      <w:pPr>
        <w:pStyle w:val="0"/>
        <w:spacing w:before="240" w:lineRule="auto"/>
        <w:ind w:firstLine="540"/>
        <w:jc w:val="both"/>
      </w:pPr>
      <w:r>
        <w:rPr>
          <w:sz w:val="24"/>
        </w:rPr>
        <w:t xml:space="preserve">4.3. Образовательная организация несет ответственность за нецелевое использование средств краевого бюджета, предоставляемых в целях финансового обеспечения расходов, связанных с обеспечением бесплатным питанием обучающихся, в соответствии с бюджетным законодательством Российской Федерации.</w:t>
      </w:r>
    </w:p>
    <w:p>
      <w:pPr>
        <w:pStyle w:val="0"/>
        <w:spacing w:before="240" w:lineRule="auto"/>
        <w:ind w:firstLine="540"/>
        <w:jc w:val="both"/>
      </w:pPr>
      <w:r>
        <w:rPr>
          <w:sz w:val="24"/>
        </w:rPr>
        <w:t xml:space="preserve">4.4. Образовательная организация вправе дополнительно использовать средства, полученные от приносящей доход деятельности, для обеспечения бесплатным питанием обучающихся.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w:t>
      </w:r>
    </w:p>
    <w:p>
      <w:pPr>
        <w:pStyle w:val="0"/>
        <w:jc w:val="right"/>
      </w:pPr>
      <w:r>
        <w:rPr>
          <w:sz w:val="24"/>
        </w:rPr>
        <w:t xml:space="preserve">о нормах и порядке обеспечения бесплатным</w:t>
      </w:r>
    </w:p>
    <w:p>
      <w:pPr>
        <w:pStyle w:val="0"/>
        <w:jc w:val="right"/>
      </w:pPr>
      <w:r>
        <w:rPr>
          <w:sz w:val="24"/>
        </w:rPr>
        <w:t xml:space="preserve">питанием отдельных категорий обучающихся</w:t>
      </w:r>
    </w:p>
    <w:p>
      <w:pPr>
        <w:pStyle w:val="0"/>
        <w:jc w:val="both"/>
      </w:pPr>
      <w:r>
        <w:rPr>
          <w:sz w:val="24"/>
        </w:rPr>
      </w:r>
    </w:p>
    <w:bookmarkStart w:id="140" w:name="P140"/>
    <w:bookmarkEnd w:id="140"/>
    <w:p>
      <w:pPr>
        <w:pStyle w:val="2"/>
        <w:jc w:val="center"/>
      </w:pPr>
      <w:r>
        <w:rPr>
          <w:sz w:val="24"/>
        </w:rPr>
        <w:t xml:space="preserve">НОРМЫ</w:t>
      </w:r>
    </w:p>
    <w:p>
      <w:pPr>
        <w:pStyle w:val="2"/>
        <w:jc w:val="center"/>
      </w:pPr>
      <w:r>
        <w:rPr>
          <w:sz w:val="24"/>
        </w:rPr>
        <w:t xml:space="preserve">ОБЕСПЕЧЕНИЯ БЕСПЛАТНЫМ ПИТАНИЕМ ОБУЧАЮЩИХСЯ</w:t>
      </w:r>
    </w:p>
    <w:p>
      <w:pPr>
        <w:pStyle w:val="0"/>
        <w:jc w:val="both"/>
      </w:pPr>
      <w:r>
        <w:rPr>
          <w:sz w:val="24"/>
        </w:rPr>
      </w:r>
    </w:p>
    <w:tbl>
      <w:tblPr>
        <w:tblInd w:w="0" w:type="dxa"/>
        <w:tblLayout w:type="fixed"/>
        <w:tblBorders>
          <w:top w:val="single" w:sz="4"/>
        </w:tblBorders>
        <w:tblCellMar>
          <w:top w:w="102" w:type="dxa"/>
          <w:left w:w="62" w:type="dxa"/>
          <w:bottom w:w="102" w:type="dxa"/>
          <w:right w:w="62" w:type="dxa"/>
        </w:tblCellMar>
      </w:tblPr>
      <w:tblGrid>
        <w:gridCol w:w="6350"/>
        <w:gridCol w:w="1247"/>
        <w:gridCol w:w="1474"/>
      </w:tblGrid>
      <w:tr>
        <w:tblPrEx>
          <w:tblBorders>
            <w:left w:val="single" w:sz="4"/>
            <w:right w:val="single" w:sz="4"/>
            <w:insideV w:val="single" w:sz="4"/>
            <w:insideH w:val="single" w:sz="4"/>
          </w:tblBorders>
        </w:tblPrEx>
        <w:tc>
          <w:tcPr>
            <w:tcW w:w="6350" w:type="dxa"/>
            <w:vAlign w:val="center"/>
            <w:tcBorders>
              <w:top w:val="single" w:sz="4"/>
              <w:bottom w:val="single" w:sz="4"/>
            </w:tcBorders>
            <w:vMerge w:val="restart"/>
          </w:tcPr>
          <w:p>
            <w:pPr>
              <w:pStyle w:val="0"/>
              <w:jc w:val="center"/>
            </w:pPr>
            <w:r>
              <w:rPr>
                <w:sz w:val="24"/>
              </w:rPr>
              <w:t xml:space="preserve">Наименование пищевой продукции или группы пищевой продукции</w:t>
            </w:r>
          </w:p>
        </w:tc>
        <w:tc>
          <w:tcPr>
            <w:gridSpan w:val="2"/>
            <w:tcW w:w="2721" w:type="dxa"/>
            <w:vAlign w:val="center"/>
            <w:tcBorders>
              <w:top w:val="single" w:sz="4"/>
              <w:bottom w:val="single" w:sz="4"/>
            </w:tcBorders>
          </w:tcPr>
          <w:p>
            <w:pPr>
              <w:pStyle w:val="0"/>
              <w:jc w:val="center"/>
            </w:pPr>
            <w:r>
              <w:rPr>
                <w:sz w:val="24"/>
              </w:rPr>
              <w:t xml:space="preserve">Среднесуточные наборы пищевой продукции (в нетто г (мл) на одного ребенка в сутки)</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1247" w:type="dxa"/>
            <w:vAlign w:val="center"/>
            <w:tcBorders>
              <w:top w:val="single" w:sz="4"/>
              <w:bottom w:val="single" w:sz="4"/>
            </w:tcBorders>
          </w:tcPr>
          <w:p>
            <w:pPr>
              <w:pStyle w:val="0"/>
              <w:jc w:val="center"/>
            </w:pPr>
            <w:r>
              <w:rPr>
                <w:sz w:val="24"/>
              </w:rPr>
              <w:t xml:space="preserve">7 - 11 лет</w:t>
            </w:r>
          </w:p>
        </w:tc>
        <w:tc>
          <w:tcPr>
            <w:tcW w:w="1474" w:type="dxa"/>
            <w:vAlign w:val="center"/>
            <w:tcBorders>
              <w:top w:val="single" w:sz="4"/>
              <w:bottom w:val="single" w:sz="4"/>
            </w:tcBorders>
          </w:tcPr>
          <w:p>
            <w:pPr>
              <w:pStyle w:val="0"/>
              <w:jc w:val="center"/>
            </w:pPr>
            <w:r>
              <w:rPr>
                <w:sz w:val="24"/>
              </w:rPr>
              <w:t xml:space="preserve">12 лет и старше</w:t>
            </w:r>
          </w:p>
        </w:tc>
      </w:tr>
      <w:tr>
        <w:tblPrEx>
          <w:tblBorders>
            <w:left w:val="single" w:sz="4"/>
            <w:right w:val="single" w:sz="4"/>
            <w:insideV w:val="single" w:sz="4"/>
            <w:insideH w:val="single" w:sz="4"/>
          </w:tblBorders>
        </w:tblPrEx>
        <w:tc>
          <w:tcPr>
            <w:tcW w:w="6350" w:type="dxa"/>
            <w:vAlign w:val="center"/>
            <w:tcBorders>
              <w:top w:val="single" w:sz="4"/>
              <w:bottom w:val="single" w:sz="4"/>
            </w:tcBorders>
          </w:tcPr>
          <w:p>
            <w:pPr>
              <w:pStyle w:val="0"/>
              <w:jc w:val="center"/>
            </w:pPr>
            <w:r>
              <w:rPr>
                <w:sz w:val="24"/>
              </w:rPr>
              <w:t xml:space="preserve">1</w:t>
            </w:r>
          </w:p>
        </w:tc>
        <w:tc>
          <w:tcPr>
            <w:tcW w:w="1247" w:type="dxa"/>
            <w:vAlign w:val="center"/>
            <w:tcBorders>
              <w:top w:val="single" w:sz="4"/>
              <w:bottom w:val="single" w:sz="4"/>
            </w:tcBorders>
          </w:tcPr>
          <w:p>
            <w:pPr>
              <w:pStyle w:val="0"/>
              <w:jc w:val="center"/>
            </w:pPr>
            <w:r>
              <w:rPr>
                <w:sz w:val="24"/>
              </w:rPr>
              <w:t xml:space="preserve">2</w:t>
            </w:r>
          </w:p>
        </w:tc>
        <w:tc>
          <w:tcPr>
            <w:tcW w:w="1474" w:type="dxa"/>
            <w:vAlign w:val="center"/>
            <w:tcBorders>
              <w:top w:val="single" w:sz="4"/>
              <w:bottom w:val="single" w:sz="4"/>
            </w:tcBorders>
          </w:tcPr>
          <w:p>
            <w:pPr>
              <w:pStyle w:val="0"/>
              <w:jc w:val="center"/>
            </w:pPr>
            <w:r>
              <w:rPr>
                <w:sz w:val="24"/>
              </w:rPr>
              <w:t xml:space="preserve">3</w:t>
            </w:r>
          </w:p>
        </w:tc>
      </w:tr>
      <w:tr>
        <w:tc>
          <w:tcPr>
            <w:tcW w:w="6350" w:type="dxa"/>
            <w:tcBorders>
              <w:top w:val="single" w:sz="4"/>
              <w:left w:val="nil"/>
              <w:bottom w:val="nil"/>
              <w:right w:val="nil"/>
            </w:tcBorders>
          </w:tcPr>
          <w:p>
            <w:pPr>
              <w:pStyle w:val="0"/>
            </w:pPr>
            <w:r>
              <w:rPr>
                <w:sz w:val="24"/>
              </w:rPr>
              <w:t xml:space="preserve">Хлеб ржаной</w:t>
            </w:r>
          </w:p>
        </w:tc>
        <w:tc>
          <w:tcPr>
            <w:tcW w:w="1247" w:type="dxa"/>
            <w:tcBorders>
              <w:top w:val="single" w:sz="4"/>
              <w:left w:val="nil"/>
              <w:bottom w:val="nil"/>
              <w:right w:val="nil"/>
            </w:tcBorders>
          </w:tcPr>
          <w:p>
            <w:pPr>
              <w:pStyle w:val="0"/>
              <w:jc w:val="center"/>
            </w:pPr>
            <w:r>
              <w:rPr>
                <w:sz w:val="24"/>
              </w:rPr>
              <w:t xml:space="preserve">80</w:t>
            </w:r>
          </w:p>
        </w:tc>
        <w:tc>
          <w:tcPr>
            <w:tcW w:w="1474" w:type="dxa"/>
            <w:tcBorders>
              <w:top w:val="single" w:sz="4"/>
              <w:left w:val="nil"/>
              <w:bottom w:val="nil"/>
              <w:right w:val="nil"/>
            </w:tcBorders>
          </w:tcPr>
          <w:p>
            <w:pPr>
              <w:pStyle w:val="0"/>
              <w:jc w:val="center"/>
            </w:pPr>
            <w:r>
              <w:rPr>
                <w:sz w:val="24"/>
              </w:rPr>
              <w:t xml:space="preserve">120</w:t>
            </w:r>
          </w:p>
        </w:tc>
      </w:tr>
      <w:tr>
        <w:tc>
          <w:tcPr>
            <w:tcW w:w="6350" w:type="dxa"/>
            <w:tcBorders>
              <w:top w:val="nil"/>
              <w:left w:val="nil"/>
              <w:bottom w:val="nil"/>
              <w:right w:val="nil"/>
            </w:tcBorders>
          </w:tcPr>
          <w:p>
            <w:pPr>
              <w:pStyle w:val="0"/>
            </w:pPr>
            <w:r>
              <w:rPr>
                <w:sz w:val="24"/>
              </w:rPr>
              <w:t xml:space="preserve">Хлеб пшеничный</w:t>
            </w:r>
          </w:p>
        </w:tc>
        <w:tc>
          <w:tcPr>
            <w:tcW w:w="1247" w:type="dxa"/>
            <w:tcBorders>
              <w:top w:val="nil"/>
              <w:left w:val="nil"/>
              <w:bottom w:val="nil"/>
              <w:right w:val="nil"/>
            </w:tcBorders>
          </w:tcPr>
          <w:p>
            <w:pPr>
              <w:pStyle w:val="0"/>
              <w:jc w:val="center"/>
            </w:pPr>
            <w:r>
              <w:rPr>
                <w:sz w:val="24"/>
              </w:rPr>
              <w:t xml:space="preserve">150</w:t>
            </w:r>
          </w:p>
        </w:tc>
        <w:tc>
          <w:tcPr>
            <w:tcW w:w="1474" w:type="dxa"/>
            <w:tcBorders>
              <w:top w:val="nil"/>
              <w:left w:val="nil"/>
              <w:bottom w:val="nil"/>
              <w:right w:val="nil"/>
            </w:tcBorders>
          </w:tcPr>
          <w:p>
            <w:pPr>
              <w:pStyle w:val="0"/>
              <w:jc w:val="center"/>
            </w:pPr>
            <w:r>
              <w:rPr>
                <w:sz w:val="24"/>
              </w:rPr>
              <w:t xml:space="preserve">200</w:t>
            </w:r>
          </w:p>
        </w:tc>
      </w:tr>
      <w:tr>
        <w:tc>
          <w:tcPr>
            <w:tcW w:w="6350" w:type="dxa"/>
            <w:tcBorders>
              <w:top w:val="nil"/>
              <w:left w:val="nil"/>
              <w:bottom w:val="nil"/>
              <w:right w:val="nil"/>
            </w:tcBorders>
          </w:tcPr>
          <w:p>
            <w:pPr>
              <w:pStyle w:val="0"/>
            </w:pPr>
            <w:r>
              <w:rPr>
                <w:sz w:val="24"/>
              </w:rPr>
              <w:t xml:space="preserve">Мука пшеничная</w:t>
            </w:r>
          </w:p>
        </w:tc>
        <w:tc>
          <w:tcPr>
            <w:tcW w:w="1247" w:type="dxa"/>
            <w:tcBorders>
              <w:top w:val="nil"/>
              <w:left w:val="nil"/>
              <w:bottom w:val="nil"/>
              <w:right w:val="nil"/>
            </w:tcBorders>
          </w:tcPr>
          <w:p>
            <w:pPr>
              <w:pStyle w:val="0"/>
              <w:jc w:val="center"/>
            </w:pPr>
            <w:r>
              <w:rPr>
                <w:sz w:val="24"/>
              </w:rPr>
              <w:t xml:space="preserve">15</w:t>
            </w:r>
          </w:p>
        </w:tc>
        <w:tc>
          <w:tcPr>
            <w:tcW w:w="1474" w:type="dxa"/>
            <w:tcBorders>
              <w:top w:val="nil"/>
              <w:left w:val="nil"/>
              <w:bottom w:val="nil"/>
              <w:right w:val="nil"/>
            </w:tcBorders>
          </w:tcPr>
          <w:p>
            <w:pPr>
              <w:pStyle w:val="0"/>
              <w:jc w:val="center"/>
            </w:pPr>
            <w:r>
              <w:rPr>
                <w:sz w:val="24"/>
              </w:rPr>
              <w:t xml:space="preserve">20</w:t>
            </w:r>
          </w:p>
        </w:tc>
      </w:tr>
      <w:tr>
        <w:tc>
          <w:tcPr>
            <w:tcW w:w="6350" w:type="dxa"/>
            <w:tcBorders>
              <w:top w:val="nil"/>
              <w:left w:val="nil"/>
              <w:bottom w:val="nil"/>
              <w:right w:val="nil"/>
            </w:tcBorders>
          </w:tcPr>
          <w:p>
            <w:pPr>
              <w:pStyle w:val="0"/>
            </w:pPr>
            <w:r>
              <w:rPr>
                <w:sz w:val="24"/>
              </w:rPr>
              <w:t xml:space="preserve">Крупы, бобовые</w:t>
            </w:r>
          </w:p>
        </w:tc>
        <w:tc>
          <w:tcPr>
            <w:tcW w:w="1247" w:type="dxa"/>
            <w:tcBorders>
              <w:top w:val="nil"/>
              <w:left w:val="nil"/>
              <w:bottom w:val="nil"/>
              <w:right w:val="nil"/>
            </w:tcBorders>
          </w:tcPr>
          <w:p>
            <w:pPr>
              <w:pStyle w:val="0"/>
              <w:jc w:val="center"/>
            </w:pPr>
            <w:r>
              <w:rPr>
                <w:sz w:val="24"/>
              </w:rPr>
              <w:t xml:space="preserve">45</w:t>
            </w:r>
          </w:p>
        </w:tc>
        <w:tc>
          <w:tcPr>
            <w:tcW w:w="1474" w:type="dxa"/>
            <w:tcBorders>
              <w:top w:val="nil"/>
              <w:left w:val="nil"/>
              <w:bottom w:val="nil"/>
              <w:right w:val="nil"/>
            </w:tcBorders>
          </w:tcPr>
          <w:p>
            <w:pPr>
              <w:pStyle w:val="0"/>
              <w:jc w:val="center"/>
            </w:pPr>
            <w:r>
              <w:rPr>
                <w:sz w:val="24"/>
              </w:rPr>
              <w:t xml:space="preserve">50</w:t>
            </w:r>
          </w:p>
        </w:tc>
      </w:tr>
      <w:tr>
        <w:tc>
          <w:tcPr>
            <w:tcW w:w="6350" w:type="dxa"/>
            <w:tcBorders>
              <w:top w:val="nil"/>
              <w:left w:val="nil"/>
              <w:bottom w:val="nil"/>
              <w:right w:val="nil"/>
            </w:tcBorders>
          </w:tcPr>
          <w:p>
            <w:pPr>
              <w:pStyle w:val="0"/>
            </w:pPr>
            <w:r>
              <w:rPr>
                <w:sz w:val="24"/>
              </w:rPr>
              <w:t xml:space="preserve">Макаронные изделия</w:t>
            </w:r>
          </w:p>
        </w:tc>
        <w:tc>
          <w:tcPr>
            <w:tcW w:w="1247" w:type="dxa"/>
            <w:tcBorders>
              <w:top w:val="nil"/>
              <w:left w:val="nil"/>
              <w:bottom w:val="nil"/>
              <w:right w:val="nil"/>
            </w:tcBorders>
          </w:tcPr>
          <w:p>
            <w:pPr>
              <w:pStyle w:val="0"/>
              <w:jc w:val="center"/>
            </w:pPr>
            <w:r>
              <w:rPr>
                <w:sz w:val="24"/>
              </w:rPr>
              <w:t xml:space="preserve">15</w:t>
            </w:r>
          </w:p>
        </w:tc>
        <w:tc>
          <w:tcPr>
            <w:tcW w:w="1474" w:type="dxa"/>
            <w:tcBorders>
              <w:top w:val="nil"/>
              <w:left w:val="nil"/>
              <w:bottom w:val="nil"/>
              <w:right w:val="nil"/>
            </w:tcBorders>
          </w:tcPr>
          <w:p>
            <w:pPr>
              <w:pStyle w:val="0"/>
              <w:jc w:val="center"/>
            </w:pPr>
            <w:r>
              <w:rPr>
                <w:sz w:val="24"/>
              </w:rPr>
              <w:t xml:space="preserve">20</w:t>
            </w:r>
          </w:p>
        </w:tc>
      </w:tr>
      <w:tr>
        <w:tc>
          <w:tcPr>
            <w:tcW w:w="6350" w:type="dxa"/>
            <w:tcBorders>
              <w:top w:val="nil"/>
              <w:left w:val="nil"/>
              <w:bottom w:val="nil"/>
              <w:right w:val="nil"/>
            </w:tcBorders>
          </w:tcPr>
          <w:p>
            <w:pPr>
              <w:pStyle w:val="0"/>
            </w:pPr>
            <w:r>
              <w:rPr>
                <w:sz w:val="24"/>
              </w:rPr>
              <w:t xml:space="preserve">Картофель</w:t>
            </w:r>
          </w:p>
        </w:tc>
        <w:tc>
          <w:tcPr>
            <w:tcW w:w="1247" w:type="dxa"/>
            <w:tcBorders>
              <w:top w:val="nil"/>
              <w:left w:val="nil"/>
              <w:bottom w:val="nil"/>
              <w:right w:val="nil"/>
            </w:tcBorders>
          </w:tcPr>
          <w:p>
            <w:pPr>
              <w:pStyle w:val="0"/>
              <w:jc w:val="center"/>
            </w:pPr>
            <w:r>
              <w:rPr>
                <w:sz w:val="24"/>
              </w:rPr>
              <w:t xml:space="preserve">187</w:t>
            </w:r>
          </w:p>
        </w:tc>
        <w:tc>
          <w:tcPr>
            <w:tcW w:w="1474" w:type="dxa"/>
            <w:tcBorders>
              <w:top w:val="nil"/>
              <w:left w:val="nil"/>
              <w:bottom w:val="nil"/>
              <w:right w:val="nil"/>
            </w:tcBorders>
          </w:tcPr>
          <w:p>
            <w:pPr>
              <w:pStyle w:val="0"/>
              <w:jc w:val="center"/>
            </w:pPr>
            <w:r>
              <w:rPr>
                <w:sz w:val="24"/>
              </w:rPr>
              <w:t xml:space="preserve">187</w:t>
            </w:r>
          </w:p>
        </w:tc>
      </w:tr>
      <w:tr>
        <w:tc>
          <w:tcPr>
            <w:tcW w:w="6350" w:type="dxa"/>
            <w:tcBorders>
              <w:top w:val="nil"/>
              <w:left w:val="nil"/>
              <w:bottom w:val="nil"/>
              <w:right w:val="nil"/>
            </w:tcBorders>
          </w:tcPr>
          <w:p>
            <w:pPr>
              <w:pStyle w:val="0"/>
            </w:pPr>
            <w:r>
              <w:rPr>
                <w:sz w:val="24"/>
              </w:rPr>
              <w:t xml:space="preserve">Овощи (свежие, мороженые, консервированные), включая соленые и квашеные (не более 10% от общего количества овощей), в том числе томат-пюре, зелень</w:t>
            </w:r>
          </w:p>
        </w:tc>
        <w:tc>
          <w:tcPr>
            <w:tcW w:w="1247" w:type="dxa"/>
            <w:tcBorders>
              <w:top w:val="nil"/>
              <w:left w:val="nil"/>
              <w:bottom w:val="nil"/>
              <w:right w:val="nil"/>
            </w:tcBorders>
          </w:tcPr>
          <w:p>
            <w:pPr>
              <w:pStyle w:val="0"/>
              <w:jc w:val="center"/>
            </w:pPr>
            <w:r>
              <w:rPr>
                <w:sz w:val="24"/>
              </w:rPr>
              <w:t xml:space="preserve">280</w:t>
            </w:r>
          </w:p>
        </w:tc>
        <w:tc>
          <w:tcPr>
            <w:tcW w:w="1474" w:type="dxa"/>
            <w:tcBorders>
              <w:top w:val="nil"/>
              <w:left w:val="nil"/>
              <w:bottom w:val="nil"/>
              <w:right w:val="nil"/>
            </w:tcBorders>
          </w:tcPr>
          <w:p>
            <w:pPr>
              <w:pStyle w:val="0"/>
              <w:jc w:val="center"/>
            </w:pPr>
            <w:r>
              <w:rPr>
                <w:sz w:val="24"/>
              </w:rPr>
              <w:t xml:space="preserve">320</w:t>
            </w:r>
          </w:p>
        </w:tc>
      </w:tr>
      <w:tr>
        <w:tc>
          <w:tcPr>
            <w:tcW w:w="6350" w:type="dxa"/>
            <w:tcBorders>
              <w:top w:val="nil"/>
              <w:left w:val="nil"/>
              <w:bottom w:val="nil"/>
              <w:right w:val="nil"/>
            </w:tcBorders>
          </w:tcPr>
          <w:p>
            <w:pPr>
              <w:pStyle w:val="0"/>
            </w:pPr>
            <w:r>
              <w:rPr>
                <w:sz w:val="24"/>
              </w:rPr>
              <w:t xml:space="preserve">Фрукты свежие</w:t>
            </w:r>
          </w:p>
        </w:tc>
        <w:tc>
          <w:tcPr>
            <w:tcW w:w="1247" w:type="dxa"/>
            <w:tcBorders>
              <w:top w:val="nil"/>
              <w:left w:val="nil"/>
              <w:bottom w:val="nil"/>
              <w:right w:val="nil"/>
            </w:tcBorders>
          </w:tcPr>
          <w:p>
            <w:pPr>
              <w:pStyle w:val="0"/>
              <w:jc w:val="center"/>
            </w:pPr>
            <w:r>
              <w:rPr>
                <w:sz w:val="24"/>
              </w:rPr>
              <w:t xml:space="preserve">185</w:t>
            </w:r>
          </w:p>
        </w:tc>
        <w:tc>
          <w:tcPr>
            <w:tcW w:w="1474" w:type="dxa"/>
            <w:tcBorders>
              <w:top w:val="nil"/>
              <w:left w:val="nil"/>
              <w:bottom w:val="nil"/>
              <w:right w:val="nil"/>
            </w:tcBorders>
          </w:tcPr>
          <w:p>
            <w:pPr>
              <w:pStyle w:val="0"/>
              <w:jc w:val="center"/>
            </w:pPr>
            <w:r>
              <w:rPr>
                <w:sz w:val="24"/>
              </w:rPr>
              <w:t xml:space="preserve">185</w:t>
            </w:r>
          </w:p>
        </w:tc>
      </w:tr>
      <w:tr>
        <w:tc>
          <w:tcPr>
            <w:tcW w:w="6350" w:type="dxa"/>
            <w:tcBorders>
              <w:top w:val="nil"/>
              <w:left w:val="nil"/>
              <w:bottom w:val="nil"/>
              <w:right w:val="nil"/>
            </w:tcBorders>
          </w:tcPr>
          <w:p>
            <w:pPr>
              <w:pStyle w:val="0"/>
            </w:pPr>
            <w:r>
              <w:rPr>
                <w:sz w:val="24"/>
              </w:rPr>
              <w:t xml:space="preserve">Сухофрукты</w:t>
            </w:r>
          </w:p>
        </w:tc>
        <w:tc>
          <w:tcPr>
            <w:tcW w:w="1247" w:type="dxa"/>
            <w:tcBorders>
              <w:top w:val="nil"/>
              <w:left w:val="nil"/>
              <w:bottom w:val="nil"/>
              <w:right w:val="nil"/>
            </w:tcBorders>
          </w:tcPr>
          <w:p>
            <w:pPr>
              <w:pStyle w:val="0"/>
              <w:jc w:val="center"/>
            </w:pPr>
            <w:r>
              <w:rPr>
                <w:sz w:val="24"/>
              </w:rPr>
              <w:t xml:space="preserve">15</w:t>
            </w:r>
          </w:p>
        </w:tc>
        <w:tc>
          <w:tcPr>
            <w:tcW w:w="1474" w:type="dxa"/>
            <w:tcBorders>
              <w:top w:val="nil"/>
              <w:left w:val="nil"/>
              <w:bottom w:val="nil"/>
              <w:right w:val="nil"/>
            </w:tcBorders>
          </w:tcPr>
          <w:p>
            <w:pPr>
              <w:pStyle w:val="0"/>
              <w:jc w:val="center"/>
            </w:pPr>
            <w:r>
              <w:rPr>
                <w:sz w:val="24"/>
              </w:rPr>
              <w:t xml:space="preserve">20</w:t>
            </w:r>
          </w:p>
        </w:tc>
      </w:tr>
      <w:tr>
        <w:tc>
          <w:tcPr>
            <w:tcW w:w="6350" w:type="dxa"/>
            <w:tcBorders>
              <w:top w:val="nil"/>
              <w:left w:val="nil"/>
              <w:bottom w:val="nil"/>
              <w:right w:val="nil"/>
            </w:tcBorders>
          </w:tcPr>
          <w:p>
            <w:pPr>
              <w:pStyle w:val="0"/>
            </w:pPr>
            <w:r>
              <w:rPr>
                <w:sz w:val="24"/>
              </w:rPr>
              <w:t xml:space="preserve">Соки плодоовощные, напитки витаминизированные, в том числе инстантные</w:t>
            </w:r>
          </w:p>
        </w:tc>
        <w:tc>
          <w:tcPr>
            <w:tcW w:w="1247" w:type="dxa"/>
            <w:tcBorders>
              <w:top w:val="nil"/>
              <w:left w:val="nil"/>
              <w:bottom w:val="nil"/>
              <w:right w:val="nil"/>
            </w:tcBorders>
          </w:tcPr>
          <w:p>
            <w:pPr>
              <w:pStyle w:val="0"/>
              <w:jc w:val="center"/>
            </w:pPr>
            <w:r>
              <w:rPr>
                <w:sz w:val="24"/>
              </w:rPr>
              <w:t xml:space="preserve">200</w:t>
            </w:r>
          </w:p>
        </w:tc>
        <w:tc>
          <w:tcPr>
            <w:tcW w:w="1474" w:type="dxa"/>
            <w:tcBorders>
              <w:top w:val="nil"/>
              <w:left w:val="nil"/>
              <w:bottom w:val="nil"/>
              <w:right w:val="nil"/>
            </w:tcBorders>
          </w:tcPr>
          <w:p>
            <w:pPr>
              <w:pStyle w:val="0"/>
              <w:jc w:val="center"/>
            </w:pPr>
            <w:r>
              <w:rPr>
                <w:sz w:val="24"/>
              </w:rPr>
              <w:t xml:space="preserve">200</w:t>
            </w:r>
          </w:p>
        </w:tc>
      </w:tr>
      <w:tr>
        <w:tc>
          <w:tcPr>
            <w:tcW w:w="6350" w:type="dxa"/>
            <w:tcBorders>
              <w:top w:val="nil"/>
              <w:left w:val="nil"/>
              <w:bottom w:val="nil"/>
              <w:right w:val="nil"/>
            </w:tcBorders>
          </w:tcPr>
          <w:p>
            <w:pPr>
              <w:pStyle w:val="0"/>
            </w:pPr>
            <w:r>
              <w:rPr>
                <w:sz w:val="24"/>
              </w:rPr>
              <w:t xml:space="preserve">Мясо первой категории</w:t>
            </w:r>
          </w:p>
        </w:tc>
        <w:tc>
          <w:tcPr>
            <w:tcW w:w="1247" w:type="dxa"/>
            <w:tcBorders>
              <w:top w:val="nil"/>
              <w:left w:val="nil"/>
              <w:bottom w:val="nil"/>
              <w:right w:val="nil"/>
            </w:tcBorders>
          </w:tcPr>
          <w:p>
            <w:pPr>
              <w:pStyle w:val="0"/>
              <w:jc w:val="center"/>
            </w:pPr>
            <w:r>
              <w:rPr>
                <w:sz w:val="24"/>
              </w:rPr>
              <w:t xml:space="preserve">70</w:t>
            </w:r>
          </w:p>
        </w:tc>
        <w:tc>
          <w:tcPr>
            <w:tcW w:w="1474" w:type="dxa"/>
            <w:tcBorders>
              <w:top w:val="nil"/>
              <w:left w:val="nil"/>
              <w:bottom w:val="nil"/>
              <w:right w:val="nil"/>
            </w:tcBorders>
          </w:tcPr>
          <w:p>
            <w:pPr>
              <w:pStyle w:val="0"/>
              <w:jc w:val="center"/>
            </w:pPr>
            <w:r>
              <w:rPr>
                <w:sz w:val="24"/>
              </w:rPr>
              <w:t xml:space="preserve">78</w:t>
            </w:r>
          </w:p>
        </w:tc>
      </w:tr>
      <w:tr>
        <w:tc>
          <w:tcPr>
            <w:tcW w:w="6350" w:type="dxa"/>
            <w:tcBorders>
              <w:top w:val="nil"/>
              <w:left w:val="nil"/>
              <w:bottom w:val="nil"/>
              <w:right w:val="nil"/>
            </w:tcBorders>
          </w:tcPr>
          <w:p>
            <w:pPr>
              <w:pStyle w:val="0"/>
            </w:pPr>
            <w:r>
              <w:rPr>
                <w:sz w:val="24"/>
              </w:rPr>
              <w:t xml:space="preserve">Субпродукты (печень, язык, сердце)</w:t>
            </w:r>
          </w:p>
        </w:tc>
        <w:tc>
          <w:tcPr>
            <w:tcW w:w="1247" w:type="dxa"/>
            <w:tcBorders>
              <w:top w:val="nil"/>
              <w:left w:val="nil"/>
              <w:bottom w:val="nil"/>
              <w:right w:val="nil"/>
            </w:tcBorders>
          </w:tcPr>
          <w:p>
            <w:pPr>
              <w:pStyle w:val="0"/>
              <w:jc w:val="center"/>
            </w:pPr>
            <w:r>
              <w:rPr>
                <w:sz w:val="24"/>
              </w:rPr>
              <w:t xml:space="preserve">30</w:t>
            </w:r>
          </w:p>
        </w:tc>
        <w:tc>
          <w:tcPr>
            <w:tcW w:w="1474" w:type="dxa"/>
            <w:tcBorders>
              <w:top w:val="nil"/>
              <w:left w:val="nil"/>
              <w:bottom w:val="nil"/>
              <w:right w:val="nil"/>
            </w:tcBorders>
          </w:tcPr>
          <w:p>
            <w:pPr>
              <w:pStyle w:val="0"/>
              <w:jc w:val="center"/>
            </w:pPr>
            <w:r>
              <w:rPr>
                <w:sz w:val="24"/>
              </w:rPr>
              <w:t xml:space="preserve">40</w:t>
            </w:r>
          </w:p>
        </w:tc>
      </w:tr>
      <w:tr>
        <w:tc>
          <w:tcPr>
            <w:tcW w:w="6350" w:type="dxa"/>
            <w:tcBorders>
              <w:top w:val="nil"/>
              <w:left w:val="nil"/>
              <w:bottom w:val="nil"/>
              <w:right w:val="nil"/>
            </w:tcBorders>
          </w:tcPr>
          <w:p>
            <w:pPr>
              <w:pStyle w:val="0"/>
            </w:pPr>
            <w:r>
              <w:rPr>
                <w:sz w:val="24"/>
              </w:rPr>
              <w:t xml:space="preserve">Птица (цыплята-бройлеры потрошеные первой категории)</w:t>
            </w:r>
          </w:p>
        </w:tc>
        <w:tc>
          <w:tcPr>
            <w:tcW w:w="1247" w:type="dxa"/>
            <w:tcBorders>
              <w:top w:val="nil"/>
              <w:left w:val="nil"/>
              <w:bottom w:val="nil"/>
              <w:right w:val="nil"/>
            </w:tcBorders>
          </w:tcPr>
          <w:p>
            <w:pPr>
              <w:pStyle w:val="0"/>
              <w:jc w:val="center"/>
            </w:pPr>
            <w:r>
              <w:rPr>
                <w:sz w:val="24"/>
              </w:rPr>
              <w:t xml:space="preserve">35</w:t>
            </w:r>
          </w:p>
        </w:tc>
        <w:tc>
          <w:tcPr>
            <w:tcW w:w="1474" w:type="dxa"/>
            <w:tcBorders>
              <w:top w:val="nil"/>
              <w:left w:val="nil"/>
              <w:bottom w:val="nil"/>
              <w:right w:val="nil"/>
            </w:tcBorders>
          </w:tcPr>
          <w:p>
            <w:pPr>
              <w:pStyle w:val="0"/>
              <w:jc w:val="center"/>
            </w:pPr>
            <w:r>
              <w:rPr>
                <w:sz w:val="24"/>
              </w:rPr>
              <w:t xml:space="preserve">53</w:t>
            </w:r>
          </w:p>
        </w:tc>
      </w:tr>
      <w:tr>
        <w:tc>
          <w:tcPr>
            <w:tcW w:w="6350" w:type="dxa"/>
            <w:tcBorders>
              <w:top w:val="nil"/>
              <w:left w:val="nil"/>
              <w:bottom w:val="nil"/>
              <w:right w:val="nil"/>
            </w:tcBorders>
          </w:tcPr>
          <w:p>
            <w:pPr>
              <w:pStyle w:val="0"/>
            </w:pPr>
            <w:r>
              <w:rPr>
                <w:sz w:val="24"/>
              </w:rPr>
              <w:t xml:space="preserve">Рыба (филе), в том числе филе слабо- или малосоленое</w:t>
            </w:r>
          </w:p>
        </w:tc>
        <w:tc>
          <w:tcPr>
            <w:tcW w:w="1247" w:type="dxa"/>
            <w:tcBorders>
              <w:top w:val="nil"/>
              <w:left w:val="nil"/>
              <w:bottom w:val="nil"/>
              <w:right w:val="nil"/>
            </w:tcBorders>
          </w:tcPr>
          <w:p>
            <w:pPr>
              <w:pStyle w:val="0"/>
              <w:jc w:val="center"/>
            </w:pPr>
            <w:r>
              <w:rPr>
                <w:sz w:val="24"/>
              </w:rPr>
              <w:t xml:space="preserve">58</w:t>
            </w:r>
          </w:p>
        </w:tc>
        <w:tc>
          <w:tcPr>
            <w:tcW w:w="1474" w:type="dxa"/>
            <w:tcBorders>
              <w:top w:val="nil"/>
              <w:left w:val="nil"/>
              <w:bottom w:val="nil"/>
              <w:right w:val="nil"/>
            </w:tcBorders>
          </w:tcPr>
          <w:p>
            <w:pPr>
              <w:pStyle w:val="0"/>
              <w:jc w:val="center"/>
            </w:pPr>
            <w:r>
              <w:rPr>
                <w:sz w:val="24"/>
              </w:rPr>
              <w:t xml:space="preserve">77</w:t>
            </w:r>
          </w:p>
        </w:tc>
      </w:tr>
      <w:tr>
        <w:tc>
          <w:tcPr>
            <w:tcW w:w="6350" w:type="dxa"/>
            <w:tcBorders>
              <w:top w:val="nil"/>
              <w:left w:val="nil"/>
              <w:bottom w:val="nil"/>
              <w:right w:val="nil"/>
            </w:tcBorders>
          </w:tcPr>
          <w:p>
            <w:pPr>
              <w:pStyle w:val="0"/>
            </w:pPr>
            <w:r>
              <w:rPr>
                <w:sz w:val="24"/>
              </w:rPr>
              <w:t xml:space="preserve">Молоко</w:t>
            </w:r>
          </w:p>
        </w:tc>
        <w:tc>
          <w:tcPr>
            <w:tcW w:w="1247" w:type="dxa"/>
            <w:tcBorders>
              <w:top w:val="nil"/>
              <w:left w:val="nil"/>
              <w:bottom w:val="nil"/>
              <w:right w:val="nil"/>
            </w:tcBorders>
          </w:tcPr>
          <w:p>
            <w:pPr>
              <w:pStyle w:val="0"/>
              <w:jc w:val="center"/>
            </w:pPr>
            <w:r>
              <w:rPr>
                <w:sz w:val="24"/>
              </w:rPr>
              <w:t xml:space="preserve">300</w:t>
            </w:r>
          </w:p>
        </w:tc>
        <w:tc>
          <w:tcPr>
            <w:tcW w:w="1474" w:type="dxa"/>
            <w:tcBorders>
              <w:top w:val="nil"/>
              <w:left w:val="nil"/>
              <w:bottom w:val="nil"/>
              <w:right w:val="nil"/>
            </w:tcBorders>
          </w:tcPr>
          <w:p>
            <w:pPr>
              <w:pStyle w:val="0"/>
              <w:jc w:val="center"/>
            </w:pPr>
            <w:r>
              <w:rPr>
                <w:sz w:val="24"/>
              </w:rPr>
              <w:t xml:space="preserve">350</w:t>
            </w:r>
          </w:p>
        </w:tc>
      </w:tr>
      <w:tr>
        <w:tc>
          <w:tcPr>
            <w:tcW w:w="6350" w:type="dxa"/>
            <w:tcBorders>
              <w:top w:val="nil"/>
              <w:left w:val="nil"/>
              <w:bottom w:val="nil"/>
              <w:right w:val="nil"/>
            </w:tcBorders>
          </w:tcPr>
          <w:p>
            <w:pPr>
              <w:pStyle w:val="0"/>
            </w:pPr>
            <w:r>
              <w:rPr>
                <w:sz w:val="24"/>
              </w:rPr>
              <w:t xml:space="preserve">Кисломолочная пищевая продукция</w:t>
            </w:r>
          </w:p>
        </w:tc>
        <w:tc>
          <w:tcPr>
            <w:tcW w:w="1247" w:type="dxa"/>
            <w:tcBorders>
              <w:top w:val="nil"/>
              <w:left w:val="nil"/>
              <w:bottom w:val="nil"/>
              <w:right w:val="nil"/>
            </w:tcBorders>
          </w:tcPr>
          <w:p>
            <w:pPr>
              <w:pStyle w:val="0"/>
              <w:jc w:val="center"/>
            </w:pPr>
            <w:r>
              <w:rPr>
                <w:sz w:val="24"/>
              </w:rPr>
              <w:t xml:space="preserve">150</w:t>
            </w:r>
          </w:p>
        </w:tc>
        <w:tc>
          <w:tcPr>
            <w:tcW w:w="1474" w:type="dxa"/>
            <w:tcBorders>
              <w:top w:val="nil"/>
              <w:left w:val="nil"/>
              <w:bottom w:val="nil"/>
              <w:right w:val="nil"/>
            </w:tcBorders>
          </w:tcPr>
          <w:p>
            <w:pPr>
              <w:pStyle w:val="0"/>
              <w:jc w:val="center"/>
            </w:pPr>
            <w:r>
              <w:rPr>
                <w:sz w:val="24"/>
              </w:rPr>
              <w:t xml:space="preserve">180</w:t>
            </w:r>
          </w:p>
        </w:tc>
      </w:tr>
      <w:tr>
        <w:tc>
          <w:tcPr>
            <w:tcW w:w="6350" w:type="dxa"/>
            <w:tcBorders>
              <w:top w:val="nil"/>
              <w:left w:val="nil"/>
              <w:bottom w:val="nil"/>
              <w:right w:val="nil"/>
            </w:tcBorders>
          </w:tcPr>
          <w:p>
            <w:pPr>
              <w:pStyle w:val="0"/>
            </w:pPr>
            <w:r>
              <w:rPr>
                <w:sz w:val="24"/>
              </w:rPr>
              <w:t xml:space="preserve">Творог (5 - 9% массовая доля жира)</w:t>
            </w:r>
          </w:p>
        </w:tc>
        <w:tc>
          <w:tcPr>
            <w:tcW w:w="1247" w:type="dxa"/>
            <w:tcBorders>
              <w:top w:val="nil"/>
              <w:left w:val="nil"/>
              <w:bottom w:val="nil"/>
              <w:right w:val="nil"/>
            </w:tcBorders>
          </w:tcPr>
          <w:p>
            <w:pPr>
              <w:pStyle w:val="0"/>
              <w:jc w:val="center"/>
            </w:pPr>
            <w:r>
              <w:rPr>
                <w:sz w:val="24"/>
              </w:rPr>
              <w:t xml:space="preserve">50</w:t>
            </w:r>
          </w:p>
        </w:tc>
        <w:tc>
          <w:tcPr>
            <w:tcW w:w="1474" w:type="dxa"/>
            <w:tcBorders>
              <w:top w:val="nil"/>
              <w:left w:val="nil"/>
              <w:bottom w:val="nil"/>
              <w:right w:val="nil"/>
            </w:tcBorders>
          </w:tcPr>
          <w:p>
            <w:pPr>
              <w:pStyle w:val="0"/>
              <w:jc w:val="center"/>
            </w:pPr>
            <w:r>
              <w:rPr>
                <w:sz w:val="24"/>
              </w:rPr>
              <w:t xml:space="preserve">60</w:t>
            </w:r>
          </w:p>
        </w:tc>
      </w:tr>
      <w:tr>
        <w:tc>
          <w:tcPr>
            <w:tcW w:w="6350" w:type="dxa"/>
            <w:tcBorders>
              <w:top w:val="nil"/>
              <w:left w:val="nil"/>
              <w:bottom w:val="nil"/>
              <w:right w:val="nil"/>
            </w:tcBorders>
          </w:tcPr>
          <w:p>
            <w:pPr>
              <w:pStyle w:val="0"/>
            </w:pPr>
            <w:r>
              <w:rPr>
                <w:sz w:val="24"/>
              </w:rPr>
              <w:t xml:space="preserve">Сыр</w:t>
            </w:r>
          </w:p>
        </w:tc>
        <w:tc>
          <w:tcPr>
            <w:tcW w:w="1247" w:type="dxa"/>
            <w:tcBorders>
              <w:top w:val="nil"/>
              <w:left w:val="nil"/>
              <w:bottom w:val="nil"/>
              <w:right w:val="nil"/>
            </w:tcBorders>
          </w:tcPr>
          <w:p>
            <w:pPr>
              <w:pStyle w:val="0"/>
              <w:jc w:val="center"/>
            </w:pPr>
            <w:r>
              <w:rPr>
                <w:sz w:val="24"/>
              </w:rPr>
              <w:t xml:space="preserve">10</w:t>
            </w:r>
          </w:p>
        </w:tc>
        <w:tc>
          <w:tcPr>
            <w:tcW w:w="1474" w:type="dxa"/>
            <w:tcBorders>
              <w:top w:val="nil"/>
              <w:left w:val="nil"/>
              <w:bottom w:val="nil"/>
              <w:right w:val="nil"/>
            </w:tcBorders>
          </w:tcPr>
          <w:p>
            <w:pPr>
              <w:pStyle w:val="0"/>
              <w:jc w:val="center"/>
            </w:pPr>
            <w:r>
              <w:rPr>
                <w:sz w:val="24"/>
              </w:rPr>
              <w:t xml:space="preserve">15</w:t>
            </w:r>
          </w:p>
        </w:tc>
      </w:tr>
      <w:tr>
        <w:tc>
          <w:tcPr>
            <w:tcW w:w="6350" w:type="dxa"/>
            <w:tcBorders>
              <w:top w:val="nil"/>
              <w:left w:val="nil"/>
              <w:bottom w:val="nil"/>
              <w:right w:val="nil"/>
            </w:tcBorders>
          </w:tcPr>
          <w:p>
            <w:pPr>
              <w:pStyle w:val="0"/>
            </w:pPr>
            <w:r>
              <w:rPr>
                <w:sz w:val="24"/>
              </w:rPr>
              <w:t xml:space="preserve">Сметана</w:t>
            </w:r>
          </w:p>
        </w:tc>
        <w:tc>
          <w:tcPr>
            <w:tcW w:w="1247" w:type="dxa"/>
            <w:tcBorders>
              <w:top w:val="nil"/>
              <w:left w:val="nil"/>
              <w:bottom w:val="nil"/>
              <w:right w:val="nil"/>
            </w:tcBorders>
          </w:tcPr>
          <w:p>
            <w:pPr>
              <w:pStyle w:val="0"/>
              <w:jc w:val="center"/>
            </w:pPr>
            <w:r>
              <w:rPr>
                <w:sz w:val="24"/>
              </w:rPr>
              <w:t xml:space="preserve">10</w:t>
            </w:r>
          </w:p>
        </w:tc>
        <w:tc>
          <w:tcPr>
            <w:tcW w:w="1474" w:type="dxa"/>
            <w:tcBorders>
              <w:top w:val="nil"/>
              <w:left w:val="nil"/>
              <w:bottom w:val="nil"/>
              <w:right w:val="nil"/>
            </w:tcBorders>
          </w:tcPr>
          <w:p>
            <w:pPr>
              <w:pStyle w:val="0"/>
              <w:jc w:val="center"/>
            </w:pPr>
            <w:r>
              <w:rPr>
                <w:sz w:val="24"/>
              </w:rPr>
              <w:t xml:space="preserve">10</w:t>
            </w:r>
          </w:p>
        </w:tc>
      </w:tr>
      <w:tr>
        <w:tc>
          <w:tcPr>
            <w:tcW w:w="6350" w:type="dxa"/>
            <w:tcBorders>
              <w:top w:val="nil"/>
              <w:left w:val="nil"/>
              <w:bottom w:val="nil"/>
              <w:right w:val="nil"/>
            </w:tcBorders>
          </w:tcPr>
          <w:p>
            <w:pPr>
              <w:pStyle w:val="0"/>
            </w:pPr>
            <w:r>
              <w:rPr>
                <w:sz w:val="24"/>
              </w:rPr>
              <w:t xml:space="preserve">Масло сливочное</w:t>
            </w:r>
          </w:p>
        </w:tc>
        <w:tc>
          <w:tcPr>
            <w:tcW w:w="1247" w:type="dxa"/>
            <w:tcBorders>
              <w:top w:val="nil"/>
              <w:left w:val="nil"/>
              <w:bottom w:val="nil"/>
              <w:right w:val="nil"/>
            </w:tcBorders>
          </w:tcPr>
          <w:p>
            <w:pPr>
              <w:pStyle w:val="0"/>
              <w:jc w:val="center"/>
            </w:pPr>
            <w:r>
              <w:rPr>
                <w:sz w:val="24"/>
              </w:rPr>
              <w:t xml:space="preserve">30</w:t>
            </w:r>
          </w:p>
        </w:tc>
        <w:tc>
          <w:tcPr>
            <w:tcW w:w="1474" w:type="dxa"/>
            <w:tcBorders>
              <w:top w:val="nil"/>
              <w:left w:val="nil"/>
              <w:bottom w:val="nil"/>
              <w:right w:val="nil"/>
            </w:tcBorders>
          </w:tcPr>
          <w:p>
            <w:pPr>
              <w:pStyle w:val="0"/>
              <w:jc w:val="center"/>
            </w:pPr>
            <w:r>
              <w:rPr>
                <w:sz w:val="24"/>
              </w:rPr>
              <w:t xml:space="preserve">35</w:t>
            </w:r>
          </w:p>
        </w:tc>
      </w:tr>
      <w:tr>
        <w:tc>
          <w:tcPr>
            <w:tcW w:w="6350" w:type="dxa"/>
            <w:tcBorders>
              <w:top w:val="nil"/>
              <w:left w:val="nil"/>
              <w:bottom w:val="nil"/>
              <w:right w:val="nil"/>
            </w:tcBorders>
          </w:tcPr>
          <w:p>
            <w:pPr>
              <w:pStyle w:val="0"/>
            </w:pPr>
            <w:r>
              <w:rPr>
                <w:sz w:val="24"/>
              </w:rPr>
              <w:t xml:space="preserve">Масло растительное</w:t>
            </w:r>
          </w:p>
        </w:tc>
        <w:tc>
          <w:tcPr>
            <w:tcW w:w="1247" w:type="dxa"/>
            <w:tcBorders>
              <w:top w:val="nil"/>
              <w:left w:val="nil"/>
              <w:bottom w:val="nil"/>
              <w:right w:val="nil"/>
            </w:tcBorders>
          </w:tcPr>
          <w:p>
            <w:pPr>
              <w:pStyle w:val="0"/>
              <w:jc w:val="center"/>
            </w:pPr>
            <w:r>
              <w:rPr>
                <w:sz w:val="24"/>
              </w:rPr>
              <w:t xml:space="preserve">15</w:t>
            </w:r>
          </w:p>
        </w:tc>
        <w:tc>
          <w:tcPr>
            <w:tcW w:w="1474" w:type="dxa"/>
            <w:tcBorders>
              <w:top w:val="nil"/>
              <w:left w:val="nil"/>
              <w:bottom w:val="nil"/>
              <w:right w:val="nil"/>
            </w:tcBorders>
          </w:tcPr>
          <w:p>
            <w:pPr>
              <w:pStyle w:val="0"/>
              <w:jc w:val="center"/>
            </w:pPr>
            <w:r>
              <w:rPr>
                <w:sz w:val="24"/>
              </w:rPr>
              <w:t xml:space="preserve">18</w:t>
            </w:r>
          </w:p>
        </w:tc>
      </w:tr>
      <w:tr>
        <w:tc>
          <w:tcPr>
            <w:tcW w:w="6350" w:type="dxa"/>
            <w:tcBorders>
              <w:top w:val="nil"/>
              <w:left w:val="nil"/>
              <w:bottom w:val="nil"/>
              <w:right w:val="nil"/>
            </w:tcBorders>
          </w:tcPr>
          <w:p>
            <w:pPr>
              <w:pStyle w:val="0"/>
            </w:pPr>
            <w:r>
              <w:rPr>
                <w:sz w:val="24"/>
              </w:rPr>
              <w:t xml:space="preserve">Яйцо (штук)</w:t>
            </w:r>
          </w:p>
        </w:tc>
        <w:tc>
          <w:tcPr>
            <w:tcW w:w="1247" w:type="dxa"/>
            <w:tcBorders>
              <w:top w:val="nil"/>
              <w:left w:val="nil"/>
              <w:bottom w:val="nil"/>
              <w:right w:val="nil"/>
            </w:tcBorders>
          </w:tcPr>
          <w:p>
            <w:pPr>
              <w:pStyle w:val="0"/>
              <w:jc w:val="center"/>
            </w:pPr>
            <w:r>
              <w:rPr>
                <w:sz w:val="24"/>
              </w:rPr>
              <w:t xml:space="preserve">1</w:t>
            </w:r>
          </w:p>
        </w:tc>
        <w:tc>
          <w:tcPr>
            <w:tcW w:w="1474" w:type="dxa"/>
            <w:tcBorders>
              <w:top w:val="nil"/>
              <w:left w:val="nil"/>
              <w:bottom w:val="nil"/>
              <w:right w:val="nil"/>
            </w:tcBorders>
          </w:tcPr>
          <w:p>
            <w:pPr>
              <w:pStyle w:val="0"/>
              <w:jc w:val="center"/>
            </w:pPr>
            <w:r>
              <w:rPr>
                <w:sz w:val="24"/>
              </w:rPr>
              <w:t xml:space="preserve">1</w:t>
            </w:r>
          </w:p>
        </w:tc>
      </w:tr>
      <w:tr>
        <w:tc>
          <w:tcPr>
            <w:tcW w:w="6350" w:type="dxa"/>
            <w:tcBorders>
              <w:top w:val="nil"/>
              <w:left w:val="nil"/>
              <w:bottom w:val="nil"/>
              <w:right w:val="nil"/>
            </w:tcBorders>
          </w:tcPr>
          <w:p>
            <w:pPr>
              <w:pStyle w:val="0"/>
            </w:pPr>
            <w:r>
              <w:rPr>
                <w:sz w:val="24"/>
              </w:rPr>
              <w:t xml:space="preserve">Сахар (в том числе для приготовления блюд и напитков, в случае использования пищевой продукции промышленного выпуска, содержащей сахар, выдача сахара должна быть уменьшена в зависимости от его содержания в используемой готовой пищевой продукции)</w:t>
            </w:r>
          </w:p>
        </w:tc>
        <w:tc>
          <w:tcPr>
            <w:tcW w:w="1247" w:type="dxa"/>
            <w:tcBorders>
              <w:top w:val="nil"/>
              <w:left w:val="nil"/>
              <w:bottom w:val="nil"/>
              <w:right w:val="nil"/>
            </w:tcBorders>
          </w:tcPr>
          <w:p>
            <w:pPr>
              <w:pStyle w:val="0"/>
              <w:jc w:val="center"/>
            </w:pPr>
            <w:r>
              <w:rPr>
                <w:sz w:val="24"/>
              </w:rPr>
              <w:t xml:space="preserve">30</w:t>
            </w:r>
          </w:p>
        </w:tc>
        <w:tc>
          <w:tcPr>
            <w:tcW w:w="1474" w:type="dxa"/>
            <w:tcBorders>
              <w:top w:val="nil"/>
              <w:left w:val="nil"/>
              <w:bottom w:val="nil"/>
              <w:right w:val="nil"/>
            </w:tcBorders>
          </w:tcPr>
          <w:p>
            <w:pPr>
              <w:pStyle w:val="0"/>
              <w:jc w:val="center"/>
            </w:pPr>
            <w:r>
              <w:rPr>
                <w:sz w:val="24"/>
              </w:rPr>
              <w:t xml:space="preserve">35</w:t>
            </w:r>
          </w:p>
        </w:tc>
      </w:tr>
      <w:tr>
        <w:tc>
          <w:tcPr>
            <w:tcW w:w="6350" w:type="dxa"/>
            <w:tcBorders>
              <w:top w:val="nil"/>
              <w:left w:val="nil"/>
              <w:bottom w:val="nil"/>
              <w:right w:val="nil"/>
            </w:tcBorders>
          </w:tcPr>
          <w:p>
            <w:pPr>
              <w:pStyle w:val="0"/>
            </w:pPr>
            <w:r>
              <w:rPr>
                <w:sz w:val="24"/>
              </w:rPr>
              <w:t xml:space="preserve">Кондитерские изделия</w:t>
            </w:r>
          </w:p>
        </w:tc>
        <w:tc>
          <w:tcPr>
            <w:tcW w:w="1247" w:type="dxa"/>
            <w:tcBorders>
              <w:top w:val="nil"/>
              <w:left w:val="nil"/>
              <w:bottom w:val="nil"/>
              <w:right w:val="nil"/>
            </w:tcBorders>
          </w:tcPr>
          <w:p>
            <w:pPr>
              <w:pStyle w:val="0"/>
              <w:jc w:val="center"/>
            </w:pPr>
            <w:r>
              <w:rPr>
                <w:sz w:val="24"/>
              </w:rPr>
              <w:t xml:space="preserve">10</w:t>
            </w:r>
          </w:p>
        </w:tc>
        <w:tc>
          <w:tcPr>
            <w:tcW w:w="1474" w:type="dxa"/>
            <w:tcBorders>
              <w:top w:val="nil"/>
              <w:left w:val="nil"/>
              <w:bottom w:val="nil"/>
              <w:right w:val="nil"/>
            </w:tcBorders>
          </w:tcPr>
          <w:p>
            <w:pPr>
              <w:pStyle w:val="0"/>
              <w:jc w:val="center"/>
            </w:pPr>
            <w:r>
              <w:rPr>
                <w:sz w:val="24"/>
              </w:rPr>
              <w:t xml:space="preserve">15</w:t>
            </w:r>
          </w:p>
        </w:tc>
      </w:tr>
      <w:tr>
        <w:tc>
          <w:tcPr>
            <w:tcW w:w="6350" w:type="dxa"/>
            <w:tcBorders>
              <w:top w:val="nil"/>
              <w:left w:val="nil"/>
              <w:bottom w:val="nil"/>
              <w:right w:val="nil"/>
            </w:tcBorders>
          </w:tcPr>
          <w:p>
            <w:pPr>
              <w:pStyle w:val="0"/>
            </w:pPr>
            <w:r>
              <w:rPr>
                <w:sz w:val="24"/>
              </w:rPr>
              <w:t xml:space="preserve">Чай</w:t>
            </w:r>
          </w:p>
        </w:tc>
        <w:tc>
          <w:tcPr>
            <w:tcW w:w="1247" w:type="dxa"/>
            <w:tcBorders>
              <w:top w:val="nil"/>
              <w:left w:val="nil"/>
              <w:bottom w:val="nil"/>
              <w:right w:val="nil"/>
            </w:tcBorders>
          </w:tcPr>
          <w:p>
            <w:pPr>
              <w:pStyle w:val="0"/>
              <w:jc w:val="center"/>
            </w:pPr>
            <w:r>
              <w:rPr>
                <w:sz w:val="24"/>
              </w:rPr>
              <w:t xml:space="preserve">1</w:t>
            </w:r>
          </w:p>
        </w:tc>
        <w:tc>
          <w:tcPr>
            <w:tcW w:w="1474" w:type="dxa"/>
            <w:tcBorders>
              <w:top w:val="nil"/>
              <w:left w:val="nil"/>
              <w:bottom w:val="nil"/>
              <w:right w:val="nil"/>
            </w:tcBorders>
          </w:tcPr>
          <w:p>
            <w:pPr>
              <w:pStyle w:val="0"/>
              <w:jc w:val="center"/>
            </w:pPr>
            <w:r>
              <w:rPr>
                <w:sz w:val="24"/>
              </w:rPr>
              <w:t xml:space="preserve">2</w:t>
            </w:r>
          </w:p>
        </w:tc>
      </w:tr>
      <w:tr>
        <w:tc>
          <w:tcPr>
            <w:tcW w:w="6350" w:type="dxa"/>
            <w:tcBorders>
              <w:top w:val="nil"/>
              <w:left w:val="nil"/>
              <w:bottom w:val="nil"/>
              <w:right w:val="nil"/>
            </w:tcBorders>
          </w:tcPr>
          <w:p>
            <w:pPr>
              <w:pStyle w:val="0"/>
            </w:pPr>
            <w:r>
              <w:rPr>
                <w:sz w:val="24"/>
              </w:rPr>
              <w:t xml:space="preserve">Какао-порошок</w:t>
            </w:r>
          </w:p>
        </w:tc>
        <w:tc>
          <w:tcPr>
            <w:tcW w:w="1247" w:type="dxa"/>
            <w:tcBorders>
              <w:top w:val="nil"/>
              <w:left w:val="nil"/>
              <w:bottom w:val="nil"/>
              <w:right w:val="nil"/>
            </w:tcBorders>
          </w:tcPr>
          <w:p>
            <w:pPr>
              <w:pStyle w:val="0"/>
              <w:jc w:val="center"/>
            </w:pPr>
            <w:r>
              <w:rPr>
                <w:sz w:val="24"/>
              </w:rPr>
              <w:t xml:space="preserve">1</w:t>
            </w:r>
          </w:p>
        </w:tc>
        <w:tc>
          <w:tcPr>
            <w:tcW w:w="1474" w:type="dxa"/>
            <w:tcBorders>
              <w:top w:val="nil"/>
              <w:left w:val="nil"/>
              <w:bottom w:val="nil"/>
              <w:right w:val="nil"/>
            </w:tcBorders>
          </w:tcPr>
          <w:p>
            <w:pPr>
              <w:pStyle w:val="0"/>
              <w:jc w:val="center"/>
            </w:pPr>
            <w:r>
              <w:rPr>
                <w:sz w:val="24"/>
              </w:rPr>
              <w:t xml:space="preserve">1,2</w:t>
            </w:r>
          </w:p>
        </w:tc>
      </w:tr>
      <w:tr>
        <w:tc>
          <w:tcPr>
            <w:tcW w:w="6350" w:type="dxa"/>
            <w:tcBorders>
              <w:top w:val="nil"/>
              <w:left w:val="nil"/>
              <w:bottom w:val="nil"/>
              <w:right w:val="nil"/>
            </w:tcBorders>
          </w:tcPr>
          <w:p>
            <w:pPr>
              <w:pStyle w:val="0"/>
            </w:pPr>
            <w:r>
              <w:rPr>
                <w:sz w:val="24"/>
              </w:rPr>
              <w:t xml:space="preserve">Кофейный напиток</w:t>
            </w:r>
          </w:p>
        </w:tc>
        <w:tc>
          <w:tcPr>
            <w:tcW w:w="1247" w:type="dxa"/>
            <w:tcBorders>
              <w:top w:val="nil"/>
              <w:left w:val="nil"/>
              <w:bottom w:val="nil"/>
              <w:right w:val="nil"/>
            </w:tcBorders>
          </w:tcPr>
          <w:p>
            <w:pPr>
              <w:pStyle w:val="0"/>
              <w:jc w:val="center"/>
            </w:pPr>
            <w:r>
              <w:rPr>
                <w:sz w:val="24"/>
              </w:rPr>
              <w:t xml:space="preserve">2</w:t>
            </w:r>
          </w:p>
        </w:tc>
        <w:tc>
          <w:tcPr>
            <w:tcW w:w="1474" w:type="dxa"/>
            <w:tcBorders>
              <w:top w:val="nil"/>
              <w:left w:val="nil"/>
              <w:bottom w:val="nil"/>
              <w:right w:val="nil"/>
            </w:tcBorders>
          </w:tcPr>
          <w:p>
            <w:pPr>
              <w:pStyle w:val="0"/>
              <w:jc w:val="center"/>
            </w:pPr>
            <w:r>
              <w:rPr>
                <w:sz w:val="24"/>
              </w:rPr>
              <w:t xml:space="preserve">2</w:t>
            </w:r>
          </w:p>
        </w:tc>
      </w:tr>
      <w:tr>
        <w:tc>
          <w:tcPr>
            <w:tcW w:w="6350" w:type="dxa"/>
            <w:tcBorders>
              <w:top w:val="nil"/>
              <w:left w:val="nil"/>
              <w:bottom w:val="nil"/>
              <w:right w:val="nil"/>
            </w:tcBorders>
          </w:tcPr>
          <w:p>
            <w:pPr>
              <w:pStyle w:val="0"/>
            </w:pPr>
            <w:r>
              <w:rPr>
                <w:sz w:val="24"/>
              </w:rPr>
              <w:t xml:space="preserve">Дрожжи хлебопекарные</w:t>
            </w:r>
          </w:p>
        </w:tc>
        <w:tc>
          <w:tcPr>
            <w:tcW w:w="1247" w:type="dxa"/>
            <w:tcBorders>
              <w:top w:val="nil"/>
              <w:left w:val="nil"/>
              <w:bottom w:val="nil"/>
              <w:right w:val="nil"/>
            </w:tcBorders>
          </w:tcPr>
          <w:p>
            <w:pPr>
              <w:pStyle w:val="0"/>
              <w:jc w:val="center"/>
            </w:pPr>
            <w:r>
              <w:rPr>
                <w:sz w:val="24"/>
              </w:rPr>
              <w:t xml:space="preserve">0,2</w:t>
            </w:r>
          </w:p>
        </w:tc>
        <w:tc>
          <w:tcPr>
            <w:tcW w:w="1474" w:type="dxa"/>
            <w:tcBorders>
              <w:top w:val="nil"/>
              <w:left w:val="nil"/>
              <w:bottom w:val="nil"/>
              <w:right w:val="nil"/>
            </w:tcBorders>
          </w:tcPr>
          <w:p>
            <w:pPr>
              <w:pStyle w:val="0"/>
              <w:jc w:val="center"/>
            </w:pPr>
            <w:r>
              <w:rPr>
                <w:sz w:val="24"/>
              </w:rPr>
              <w:t xml:space="preserve">0,3</w:t>
            </w:r>
          </w:p>
        </w:tc>
      </w:tr>
      <w:tr>
        <w:tc>
          <w:tcPr>
            <w:tcW w:w="6350" w:type="dxa"/>
            <w:tcBorders>
              <w:top w:val="nil"/>
              <w:left w:val="nil"/>
              <w:bottom w:val="nil"/>
              <w:right w:val="nil"/>
            </w:tcBorders>
          </w:tcPr>
          <w:p>
            <w:pPr>
              <w:pStyle w:val="0"/>
            </w:pPr>
            <w:r>
              <w:rPr>
                <w:sz w:val="24"/>
              </w:rPr>
              <w:t xml:space="preserve">Соль пищевая поваренная йодированная</w:t>
            </w:r>
          </w:p>
        </w:tc>
        <w:tc>
          <w:tcPr>
            <w:tcW w:w="1247" w:type="dxa"/>
            <w:tcBorders>
              <w:top w:val="nil"/>
              <w:left w:val="nil"/>
              <w:bottom w:val="nil"/>
              <w:right w:val="nil"/>
            </w:tcBorders>
          </w:tcPr>
          <w:p>
            <w:pPr>
              <w:pStyle w:val="0"/>
              <w:jc w:val="center"/>
            </w:pPr>
            <w:r>
              <w:rPr>
                <w:sz w:val="24"/>
              </w:rPr>
              <w:t xml:space="preserve">3</w:t>
            </w:r>
          </w:p>
        </w:tc>
        <w:tc>
          <w:tcPr>
            <w:tcW w:w="1474" w:type="dxa"/>
            <w:tcBorders>
              <w:top w:val="nil"/>
              <w:left w:val="nil"/>
              <w:bottom w:val="nil"/>
              <w:right w:val="nil"/>
            </w:tcBorders>
          </w:tcPr>
          <w:p>
            <w:pPr>
              <w:pStyle w:val="0"/>
              <w:jc w:val="center"/>
            </w:pPr>
            <w:r>
              <w:rPr>
                <w:sz w:val="24"/>
              </w:rPr>
              <w:t xml:space="preserve">5</w:t>
            </w:r>
          </w:p>
        </w:tc>
      </w:tr>
      <w:tr>
        <w:tc>
          <w:tcPr>
            <w:tcW w:w="6350" w:type="dxa"/>
            <w:tcBorders>
              <w:top w:val="nil"/>
              <w:left w:val="nil"/>
              <w:bottom w:val="nil"/>
              <w:right w:val="nil"/>
            </w:tcBorders>
          </w:tcPr>
          <w:p>
            <w:pPr>
              <w:pStyle w:val="0"/>
            </w:pPr>
            <w:r>
              <w:rPr>
                <w:sz w:val="24"/>
              </w:rPr>
              <w:t xml:space="preserve">Специи</w:t>
            </w:r>
          </w:p>
        </w:tc>
        <w:tc>
          <w:tcPr>
            <w:tcW w:w="1247" w:type="dxa"/>
            <w:tcBorders>
              <w:top w:val="nil"/>
              <w:left w:val="nil"/>
              <w:bottom w:val="nil"/>
              <w:right w:val="nil"/>
            </w:tcBorders>
          </w:tcPr>
          <w:p>
            <w:pPr>
              <w:pStyle w:val="0"/>
              <w:jc w:val="center"/>
            </w:pPr>
            <w:r>
              <w:rPr>
                <w:sz w:val="24"/>
              </w:rPr>
              <w:t xml:space="preserve">2</w:t>
            </w:r>
          </w:p>
        </w:tc>
        <w:tc>
          <w:tcPr>
            <w:tcW w:w="1474" w:type="dxa"/>
            <w:tcBorders>
              <w:top w:val="nil"/>
              <w:left w:val="nil"/>
              <w:bottom w:val="nil"/>
              <w:right w:val="nil"/>
            </w:tcBorders>
          </w:tcPr>
          <w:p>
            <w:pPr>
              <w:pStyle w:val="0"/>
              <w:jc w:val="center"/>
            </w:pPr>
            <w:r>
              <w:rPr>
                <w:sz w:val="24"/>
              </w:rPr>
              <w:t xml:space="preserve">2</w:t>
            </w:r>
          </w:p>
        </w:tc>
      </w:tr>
      <w:tr>
        <w:tc>
          <w:tcPr>
            <w:tcW w:w="6350" w:type="dxa"/>
            <w:tcBorders>
              <w:top w:val="nil"/>
              <w:left w:val="nil"/>
              <w:bottom w:val="nil"/>
              <w:right w:val="nil"/>
            </w:tcBorders>
          </w:tcPr>
          <w:p>
            <w:pPr>
              <w:pStyle w:val="0"/>
            </w:pPr>
            <w:r>
              <w:rPr>
                <w:sz w:val="24"/>
              </w:rPr>
              <w:t xml:space="preserve">Крахмал</w:t>
            </w:r>
          </w:p>
        </w:tc>
        <w:tc>
          <w:tcPr>
            <w:tcW w:w="1247" w:type="dxa"/>
            <w:tcBorders>
              <w:top w:val="nil"/>
              <w:left w:val="nil"/>
              <w:bottom w:val="nil"/>
              <w:right w:val="nil"/>
            </w:tcBorders>
          </w:tcPr>
          <w:p>
            <w:pPr>
              <w:pStyle w:val="0"/>
              <w:jc w:val="center"/>
            </w:pPr>
            <w:r>
              <w:rPr>
                <w:sz w:val="24"/>
              </w:rPr>
              <w:t xml:space="preserve">3</w:t>
            </w:r>
          </w:p>
        </w:tc>
        <w:tc>
          <w:tcPr>
            <w:tcW w:w="1474" w:type="dxa"/>
            <w:tcBorders>
              <w:top w:val="nil"/>
              <w:left w:val="nil"/>
              <w:bottom w:val="nil"/>
              <w:right w:val="nil"/>
            </w:tcBorders>
          </w:tcPr>
          <w:p>
            <w:pPr>
              <w:pStyle w:val="0"/>
              <w:jc w:val="center"/>
            </w:pPr>
            <w:r>
              <w:rPr>
                <w:sz w:val="24"/>
              </w:rPr>
              <w:t xml:space="preserve">4</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Хабаровского края от 10.02.2026 N 29-пр</w:t>
            <w:br/>
            <w:t>"Об утверждении Положения о нормах и порядке обеспеч...</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11.03.2026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1522&amp;date=11.03.2026&amp;dst=100555&amp;field=134" TargetMode = "External"/><Relationship Id="rId9" Type="http://schemas.openxmlformats.org/officeDocument/2006/relationships/hyperlink" Target="https://login.consultant.ru/link/?req=doc&amp;base=RLAW011&amp;n=198906&amp;date=11.03.2026&amp;dst=100134&amp;field=134" TargetMode = "External"/><Relationship Id="rId10" Type="http://schemas.openxmlformats.org/officeDocument/2006/relationships/hyperlink" Target="https://login.consultant.ru/link/?req=doc&amp;base=RLAW011&amp;n=198906&amp;date=11.03.2026&amp;dst=100122&amp;field=134" TargetMode = "External"/><Relationship Id="rId11" Type="http://schemas.openxmlformats.org/officeDocument/2006/relationships/hyperlink" Target="https://login.consultant.ru/link/?req=doc&amp;base=RLAW011&amp;n=198906&amp;date=11.03.2026&amp;dst=100133&amp;field=134" TargetMode = "External"/><Relationship Id="rId12" Type="http://schemas.openxmlformats.org/officeDocument/2006/relationships/hyperlink" Target="https://login.consultant.ru/link/?req=doc&amp;base=RLAW011&amp;n=192011&amp;date=11.03.2026" TargetMode = "External"/><Relationship Id="rId13" Type="http://schemas.openxmlformats.org/officeDocument/2006/relationships/hyperlink" Target="https://login.consultant.ru/link/?req=doc&amp;base=RLAW011&amp;n=128795&amp;date=11.03.2026" TargetMode = "External"/><Relationship Id="rId14" Type="http://schemas.openxmlformats.org/officeDocument/2006/relationships/hyperlink" Target="https://login.consultant.ru/link/?req=doc&amp;base=RLAW011&amp;n=146651&amp;date=11.03.2026" TargetMode = "External"/><Relationship Id="rId15" Type="http://schemas.openxmlformats.org/officeDocument/2006/relationships/hyperlink" Target="https://login.consultant.ru/link/?req=doc&amp;base=RLAW011&amp;n=149095&amp;date=11.03.2026&amp;dst=100016&amp;field=134" TargetMode = "External"/><Relationship Id="rId16" Type="http://schemas.openxmlformats.org/officeDocument/2006/relationships/hyperlink" Target="https://login.consultant.ru/link/?req=doc&amp;base=RLAW011&amp;n=162715&amp;date=11.03.2026" TargetMode = "External"/><Relationship Id="rId17" Type="http://schemas.openxmlformats.org/officeDocument/2006/relationships/hyperlink" Target="https://login.consultant.ru/link/?req=doc&amp;base=RLAW011&amp;n=173025&amp;date=11.03.2026" TargetMode = "External"/><Relationship Id="rId18" Type="http://schemas.openxmlformats.org/officeDocument/2006/relationships/hyperlink" Target="https://login.consultant.ru/link/?req=doc&amp;base=RLAW011&amp;n=181818&amp;date=11.03.2026&amp;dst=100037&amp;field=134" TargetMode = "External"/><Relationship Id="rId19" Type="http://schemas.openxmlformats.org/officeDocument/2006/relationships/hyperlink" Target="https://login.consultant.ru/link/?req=doc&amp;base=RLAW011&amp;n=194399&amp;date=11.03.2026&amp;dst=100011&amp;field=134" TargetMode = "External"/><Relationship Id="rId20" Type="http://schemas.openxmlformats.org/officeDocument/2006/relationships/hyperlink" Target="https://login.consultant.ru/link/?req=doc&amp;base=RLAW011&amp;n=191941&amp;date=11.03.2026&amp;dst=100028&amp;field=134" TargetMode = "External"/><Relationship Id="rId21" Type="http://schemas.openxmlformats.org/officeDocument/2006/relationships/hyperlink" Target="https://login.consultant.ru/link/?req=doc&amp;base=LAW&amp;n=426999&amp;date=11.03.2026" TargetMode = "External"/><Relationship Id="rId22" Type="http://schemas.openxmlformats.org/officeDocument/2006/relationships/hyperlink" Target="https://login.consultant.ru/link/?req=doc&amp;base=LAW&amp;n=494597&amp;date=11.03.2026&amp;dst=100037&amp;field=134" TargetMode = "External"/><Relationship Id="rId23" Type="http://schemas.openxmlformats.org/officeDocument/2006/relationships/hyperlink" Target="https://login.consultant.ru/link/?req=doc&amp;base=LAW&amp;n=520112&amp;date=11.03.2026" TargetMode = "External"/><Relationship Id="rId24" Type="http://schemas.openxmlformats.org/officeDocument/2006/relationships/hyperlink" Target="https://login.consultant.ru/link/?req=doc&amp;base=LAW&amp;n=489643&amp;date=11.03.2026&amp;dst=100023&amp;field=134" TargetMode = "External"/><Relationship Id="rId25" Type="http://schemas.openxmlformats.org/officeDocument/2006/relationships/hyperlink" Target="https://login.consultant.ru/link/?req=doc&amp;base=LAW&amp;n=489643&amp;date=11.03.2026&amp;dst=100049&amp;field=134" TargetMode = "External"/><Relationship Id="rId26" Type="http://schemas.openxmlformats.org/officeDocument/2006/relationships/hyperlink" Target="https://login.consultant.ru/link/?req=doc&amp;base=RLAW011&amp;n=199184&amp;date=11.03.2026&amp;dst=14706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Хабаровского края от 10.02.2026 N 29-пр
"Об утверждении Положения о нормах и порядке обеспечения бесплатным питанием отдельных категорий обучающихся"</dc:title>
  <dcterms:created xsi:type="dcterms:W3CDTF">2026-03-10T23:59:16Z</dcterms:created>
</cp:coreProperties>
</file>